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5F" w:rsidRPr="007A095F" w:rsidRDefault="007A095F" w:rsidP="007A095F">
      <w:pPr>
        <w:tabs>
          <w:tab w:val="left" w:pos="-1080"/>
          <w:tab w:val="left" w:pos="-851"/>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Na podlagi 29. člena Zakona o lokalni samoupravi (Uradni list RS, št. 94/07-UPB2, 76/08, 100/08-</w:t>
      </w:r>
      <w:proofErr w:type="spellStart"/>
      <w:r w:rsidRPr="007A095F">
        <w:rPr>
          <w:rFonts w:ascii="Times New Roman" w:eastAsia="Times New Roman" w:hAnsi="Times New Roman" w:cs="Times New Roman"/>
          <w:color w:val="000000"/>
          <w:sz w:val="20"/>
          <w:szCs w:val="20"/>
        </w:rPr>
        <w:t>odl</w:t>
      </w:r>
      <w:proofErr w:type="spellEnd"/>
      <w:r w:rsidRPr="007A095F">
        <w:rPr>
          <w:rFonts w:ascii="Times New Roman" w:eastAsia="Times New Roman" w:hAnsi="Times New Roman" w:cs="Times New Roman"/>
          <w:color w:val="000000"/>
          <w:sz w:val="20"/>
          <w:szCs w:val="20"/>
        </w:rPr>
        <w:t xml:space="preserve"> US, 79/09, 51/10</w:t>
      </w:r>
      <w:r w:rsidR="00D463AE">
        <w:rPr>
          <w:rFonts w:ascii="Times New Roman" w:eastAsia="Times New Roman" w:hAnsi="Times New Roman" w:cs="Times New Roman"/>
          <w:color w:val="000000"/>
          <w:sz w:val="20"/>
          <w:szCs w:val="20"/>
        </w:rPr>
        <w:t xml:space="preserve">, </w:t>
      </w:r>
      <w:r w:rsidRPr="007A095F">
        <w:rPr>
          <w:rFonts w:ascii="Times New Roman" w:eastAsia="Times New Roman" w:hAnsi="Times New Roman" w:cs="Times New Roman"/>
          <w:color w:val="000000"/>
          <w:sz w:val="20"/>
          <w:szCs w:val="20"/>
        </w:rPr>
        <w:t xml:space="preserve">84/2010 </w:t>
      </w:r>
      <w:proofErr w:type="spellStart"/>
      <w:r w:rsidRPr="007A095F">
        <w:rPr>
          <w:rFonts w:ascii="Times New Roman" w:eastAsia="Times New Roman" w:hAnsi="Times New Roman" w:cs="Times New Roman"/>
          <w:color w:val="000000"/>
          <w:sz w:val="20"/>
          <w:szCs w:val="20"/>
        </w:rPr>
        <w:t>Odl</w:t>
      </w:r>
      <w:proofErr w:type="spellEnd"/>
      <w:r w:rsidRPr="007A095F">
        <w:rPr>
          <w:rFonts w:ascii="Times New Roman" w:eastAsia="Times New Roman" w:hAnsi="Times New Roman" w:cs="Times New Roman"/>
          <w:color w:val="000000"/>
          <w:sz w:val="20"/>
          <w:szCs w:val="20"/>
        </w:rPr>
        <w:t>.US:U-I-176/08-10</w:t>
      </w:r>
      <w:r w:rsidR="00D463AE">
        <w:rPr>
          <w:rFonts w:ascii="Times New Roman" w:eastAsia="Times New Roman" w:hAnsi="Times New Roman" w:cs="Times New Roman"/>
          <w:color w:val="000000"/>
          <w:sz w:val="20"/>
          <w:szCs w:val="20"/>
        </w:rPr>
        <w:t xml:space="preserve"> in 40/12-ZUJF</w:t>
      </w:r>
      <w:r w:rsidRPr="007A095F">
        <w:rPr>
          <w:rFonts w:ascii="Times New Roman" w:eastAsia="Times New Roman" w:hAnsi="Times New Roman" w:cs="Times New Roman"/>
          <w:color w:val="000000"/>
          <w:sz w:val="20"/>
          <w:szCs w:val="20"/>
        </w:rPr>
        <w:t>), 29. člena Zakona o javnih financah (Uradni list RS</w:t>
      </w:r>
      <w:r w:rsidR="00D463AE">
        <w:rPr>
          <w:rFonts w:ascii="Times New Roman" w:eastAsia="Times New Roman" w:hAnsi="Times New Roman" w:cs="Times New Roman"/>
          <w:color w:val="000000"/>
          <w:sz w:val="20"/>
          <w:szCs w:val="20"/>
        </w:rPr>
        <w:t>, št. 11/2011-UPB4 in 110/2011-ZDIU</w:t>
      </w:r>
      <w:r w:rsidRPr="007A095F">
        <w:rPr>
          <w:rFonts w:ascii="Times New Roman" w:eastAsia="Times New Roman" w:hAnsi="Times New Roman" w:cs="Times New Roman"/>
          <w:color w:val="000000"/>
          <w:sz w:val="20"/>
          <w:szCs w:val="20"/>
        </w:rPr>
        <w:t>12) in 16. člena Statuta Občine Gornji Petrovci (Uradni list RS, št. 101/06) je Občinski svet  Občine</w:t>
      </w:r>
      <w:r w:rsidR="000A30ED">
        <w:rPr>
          <w:rFonts w:ascii="Times New Roman" w:eastAsia="Times New Roman" w:hAnsi="Times New Roman" w:cs="Times New Roman"/>
          <w:color w:val="000000"/>
          <w:sz w:val="20"/>
          <w:szCs w:val="20"/>
        </w:rPr>
        <w:t xml:space="preserve"> Gornji Petrovci na svoji            </w:t>
      </w:r>
      <w:r w:rsidR="00D463AE">
        <w:rPr>
          <w:rFonts w:ascii="Times New Roman" w:eastAsia="Times New Roman" w:hAnsi="Times New Roman" w:cs="Times New Roman"/>
          <w:color w:val="000000"/>
          <w:sz w:val="20"/>
          <w:szCs w:val="20"/>
        </w:rPr>
        <w:t>. r</w:t>
      </w:r>
      <w:r w:rsidR="000A30ED">
        <w:rPr>
          <w:rFonts w:ascii="Times New Roman" w:eastAsia="Times New Roman" w:hAnsi="Times New Roman" w:cs="Times New Roman"/>
          <w:color w:val="000000"/>
          <w:sz w:val="20"/>
          <w:szCs w:val="20"/>
        </w:rPr>
        <w:t xml:space="preserve">edni seji, dne                           </w:t>
      </w:r>
      <w:r w:rsidR="005E556E">
        <w:rPr>
          <w:rFonts w:ascii="Times New Roman" w:eastAsia="Times New Roman" w:hAnsi="Times New Roman" w:cs="Times New Roman"/>
          <w:color w:val="000000"/>
          <w:sz w:val="20"/>
          <w:szCs w:val="20"/>
        </w:rPr>
        <w:t xml:space="preserve"> </w:t>
      </w:r>
      <w:r w:rsidRPr="007A095F">
        <w:rPr>
          <w:rFonts w:ascii="Times New Roman" w:eastAsia="Times New Roman" w:hAnsi="Times New Roman" w:cs="Times New Roman"/>
          <w:color w:val="000000"/>
          <w:sz w:val="20"/>
          <w:szCs w:val="20"/>
        </w:rPr>
        <w:t>sprejel</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b/>
          <w:color w:val="000000"/>
          <w:sz w:val="20"/>
          <w:szCs w:val="20"/>
        </w:rPr>
      </w:pPr>
      <w:r w:rsidRPr="007A095F">
        <w:rPr>
          <w:rFonts w:ascii="Times New Roman" w:eastAsia="Times New Roman" w:hAnsi="Times New Roman" w:cs="Times New Roman"/>
          <w:b/>
          <w:color w:val="000000"/>
          <w:sz w:val="20"/>
          <w:szCs w:val="20"/>
        </w:rPr>
        <w:t xml:space="preserve">ODLOK O PRORAČUNU </w:t>
      </w:r>
    </w:p>
    <w:p w:rsidR="007A095F" w:rsidRPr="007A095F" w:rsidRDefault="007A095F"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b/>
          <w:color w:val="000000"/>
          <w:sz w:val="20"/>
          <w:szCs w:val="20"/>
        </w:rPr>
      </w:pPr>
      <w:r w:rsidRPr="007A095F">
        <w:rPr>
          <w:rFonts w:ascii="Times New Roman" w:eastAsia="Times New Roman" w:hAnsi="Times New Roman" w:cs="Times New Roman"/>
          <w:b/>
          <w:color w:val="000000"/>
          <w:sz w:val="20"/>
          <w:szCs w:val="20"/>
        </w:rPr>
        <w:t xml:space="preserve">OBČINE GORNJI PETROVCI ZA </w:t>
      </w:r>
      <w:r w:rsidR="000A30ED">
        <w:rPr>
          <w:rFonts w:ascii="Times New Roman" w:eastAsia="Times New Roman" w:hAnsi="Times New Roman" w:cs="Times New Roman"/>
          <w:b/>
          <w:color w:val="000000"/>
          <w:sz w:val="20"/>
          <w:szCs w:val="20"/>
        </w:rPr>
        <w:t>LETO 2015</w:t>
      </w:r>
    </w:p>
    <w:p w:rsidR="007A095F" w:rsidRPr="007A095F" w:rsidRDefault="007A095F" w:rsidP="007A095F">
      <w:pPr>
        <w:tabs>
          <w:tab w:val="left" w:pos="-1080"/>
          <w:tab w:val="left" w:pos="-720"/>
          <w:tab w:val="left" w:pos="0"/>
          <w:tab w:val="left" w:pos="81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082E6A">
      <w:pPr>
        <w:tabs>
          <w:tab w:val="left" w:pos="-1080"/>
          <w:tab w:val="left" w:pos="-720"/>
          <w:tab w:val="left" w:pos="0"/>
          <w:tab w:val="left" w:pos="81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1. SPLOŠNA DOLOČBA</w:t>
      </w:r>
    </w:p>
    <w:p w:rsidR="007A095F" w:rsidRPr="007A095F" w:rsidRDefault="007A095F" w:rsidP="007A095F">
      <w:pPr>
        <w:numPr>
          <w:ilvl w:val="0"/>
          <w:numId w:val="1"/>
        </w:numPr>
        <w:tabs>
          <w:tab w:val="left" w:pos="-1080"/>
          <w:tab w:val="left" w:pos="-720"/>
          <w:tab w:val="left" w:pos="0"/>
          <w:tab w:val="left" w:pos="810"/>
        </w:tabs>
        <w:spacing w:after="0" w:line="240" w:lineRule="auto"/>
        <w:jc w:val="center"/>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člen</w:t>
      </w:r>
    </w:p>
    <w:p w:rsidR="007A095F" w:rsidRPr="007A095F" w:rsidRDefault="007A095F" w:rsidP="007A095F">
      <w:pPr>
        <w:tabs>
          <w:tab w:val="left" w:pos="-1080"/>
          <w:tab w:val="left" w:pos="-720"/>
          <w:tab w:val="left" w:pos="0"/>
          <w:tab w:val="left" w:pos="810"/>
        </w:tabs>
        <w:spacing w:after="0" w:line="240" w:lineRule="auto"/>
        <w:ind w:left="360"/>
        <w:jc w:val="center"/>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(vsebina odloka)</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6"/>
          <w:szCs w:val="6"/>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S tem odlokom se za Občino</w:t>
      </w:r>
      <w:r w:rsidR="000A30ED">
        <w:rPr>
          <w:rFonts w:ascii="Times New Roman" w:eastAsia="Times New Roman" w:hAnsi="Times New Roman" w:cs="Times New Roman"/>
          <w:color w:val="000000"/>
          <w:sz w:val="20"/>
          <w:szCs w:val="20"/>
        </w:rPr>
        <w:t xml:space="preserve"> Gornji Petrovci za leto 2015</w:t>
      </w:r>
      <w:r w:rsidRPr="007A095F">
        <w:rPr>
          <w:rFonts w:ascii="Times New Roman" w:eastAsia="Times New Roman" w:hAnsi="Times New Roman" w:cs="Times New Roman"/>
          <w:color w:val="000000"/>
          <w:sz w:val="20"/>
          <w:szCs w:val="20"/>
        </w:rPr>
        <w:t xml:space="preserve"> določajo proračun, postopki izvrševanja proračuna ter obseg zadolževanja in poroštev občine in javnega sektorja na ravni občine (v nadaljnjem besedilu: proračun).</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6"/>
          <w:szCs w:val="6"/>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2. VIŠINA SPLOŠNEGA DELA PRORAČUNA IN STRUKTURA POSEBNEGA DELA PRORAČUNA</w:t>
      </w:r>
    </w:p>
    <w:p w:rsidR="007A095F" w:rsidRPr="007A095F" w:rsidRDefault="007A095F" w:rsidP="007A095F">
      <w:pPr>
        <w:tabs>
          <w:tab w:val="left" w:pos="-1080"/>
          <w:tab w:val="left" w:pos="-720"/>
          <w:tab w:val="left" w:pos="0"/>
          <w:tab w:val="left" w:pos="810"/>
        </w:tabs>
        <w:spacing w:after="0" w:line="240" w:lineRule="auto"/>
        <w:jc w:val="center"/>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s>
        <w:spacing w:after="0" w:line="240" w:lineRule="auto"/>
        <w:jc w:val="center"/>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2. člen</w:t>
      </w:r>
    </w:p>
    <w:p w:rsidR="007A095F" w:rsidRPr="007A095F" w:rsidRDefault="007A095F"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(sestava proračuna in višina splošnega dela proračuna)</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V splošnem delu proračuna so prikazani prejemki in izdatki po ekonomski klasifikaciji do ravni kontov.</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Splošni del proračuna se na ravni podskupin kontov določa v naslednjih zneskih:</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t xml:space="preserve">                   v </w:t>
      </w:r>
      <w:proofErr w:type="spellStart"/>
      <w:r w:rsidRPr="007A095F">
        <w:rPr>
          <w:rFonts w:ascii="Times New Roman" w:eastAsia="Times New Roman" w:hAnsi="Times New Roman" w:cs="Times New Roman"/>
          <w:color w:val="000000"/>
          <w:sz w:val="24"/>
          <w:szCs w:val="20"/>
        </w:rPr>
        <w:t>eurih</w:t>
      </w:r>
      <w:proofErr w:type="spellEnd"/>
    </w:p>
    <w:p w:rsidR="007A095F" w:rsidRPr="007A095F" w:rsidRDefault="007A095F" w:rsidP="007A095F">
      <w:pPr>
        <w:tabs>
          <w:tab w:val="left" w:pos="-1080"/>
          <w:tab w:val="left" w:pos="-720"/>
          <w:tab w:val="left" w:pos="0"/>
          <w:tab w:val="left" w:pos="810"/>
        </w:tabs>
        <w:spacing w:after="0" w:line="240" w:lineRule="auto"/>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4"/>
          <w:szCs w:val="20"/>
        </w:rPr>
        <w:tab/>
      </w:r>
      <w:proofErr w:type="spellStart"/>
      <w:r w:rsidRPr="007A095F">
        <w:rPr>
          <w:rFonts w:ascii="Times New Roman" w:eastAsia="Times New Roman" w:hAnsi="Times New Roman" w:cs="Times New Roman"/>
          <w:color w:val="000000"/>
          <w:sz w:val="24"/>
          <w:szCs w:val="20"/>
        </w:rPr>
        <w:t>A.BILANCA</w:t>
      </w:r>
      <w:proofErr w:type="spellEnd"/>
      <w:r w:rsidRPr="007A095F">
        <w:rPr>
          <w:rFonts w:ascii="Times New Roman" w:eastAsia="Times New Roman" w:hAnsi="Times New Roman" w:cs="Times New Roman"/>
          <w:color w:val="000000"/>
          <w:sz w:val="24"/>
          <w:szCs w:val="20"/>
        </w:rPr>
        <w:t xml:space="preserve"> PRIHODKOV IN ODHODKOV </w:t>
      </w:r>
    </w:p>
    <w:p w:rsidR="007A095F" w:rsidRPr="007A095F" w:rsidRDefault="007A095F" w:rsidP="007A095F">
      <w:pPr>
        <w:tabs>
          <w:tab w:val="left" w:pos="-1080"/>
          <w:tab w:val="left" w:pos="-720"/>
          <w:tab w:val="left" w:pos="0"/>
          <w:tab w:val="left" w:pos="810"/>
        </w:tabs>
        <w:spacing w:after="0" w:line="240" w:lineRule="auto"/>
        <w:jc w:val="both"/>
        <w:rPr>
          <w:rFonts w:ascii="Times New Roman" w:eastAsia="Times New Roman" w:hAnsi="Times New Roman" w:cs="Times New Roman"/>
          <w:color w:val="000000"/>
          <w:sz w:val="16"/>
          <w:szCs w:val="20"/>
        </w:rPr>
      </w:pPr>
      <w:r w:rsidRPr="007A095F">
        <w:rPr>
          <w:rFonts w:ascii="Times New Roman" w:eastAsia="Times New Roman" w:hAnsi="Times New Roman" w:cs="Times New Roman"/>
          <w:color w:val="000000"/>
          <w:sz w:val="16"/>
          <w:szCs w:val="20"/>
        </w:rPr>
        <w:t>________________________________________________________________________________________________________________</w:t>
      </w:r>
      <w:r w:rsidRPr="007A095F">
        <w:rPr>
          <w:rFonts w:ascii="Times New Roman" w:eastAsia="Times New Roman" w:hAnsi="Times New Roman" w:cs="Times New Roman"/>
          <w:color w:val="000000"/>
          <w:sz w:val="16"/>
          <w:szCs w:val="20"/>
        </w:rPr>
        <w:tab/>
        <w:t>Skupina/Podskupina kontov/Konto/</w:t>
      </w:r>
      <w:proofErr w:type="spellStart"/>
      <w:r w:rsidRPr="007A095F">
        <w:rPr>
          <w:rFonts w:ascii="Times New Roman" w:eastAsia="Times New Roman" w:hAnsi="Times New Roman" w:cs="Times New Roman"/>
          <w:color w:val="000000"/>
          <w:sz w:val="16"/>
          <w:szCs w:val="20"/>
        </w:rPr>
        <w:t>Podkonto</w:t>
      </w:r>
      <w:proofErr w:type="spellEnd"/>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20"/>
          <w:szCs w:val="20"/>
        </w:rPr>
        <w:t xml:space="preserve">         Proračun leta 20</w:t>
      </w:r>
      <w:r w:rsidR="000A30ED">
        <w:rPr>
          <w:rFonts w:ascii="Times New Roman" w:eastAsia="Times New Roman" w:hAnsi="Times New Roman" w:cs="Times New Roman"/>
          <w:color w:val="000000"/>
          <w:sz w:val="20"/>
          <w:szCs w:val="20"/>
        </w:rPr>
        <w:t>15</w:t>
      </w:r>
    </w:p>
    <w:p w:rsidR="007A095F" w:rsidRPr="007A095F" w:rsidRDefault="007A095F" w:rsidP="007A095F">
      <w:pPr>
        <w:tabs>
          <w:tab w:val="left" w:pos="-1080"/>
          <w:tab w:val="left" w:pos="-720"/>
          <w:tab w:val="left" w:pos="0"/>
          <w:tab w:val="left" w:pos="810"/>
        </w:tabs>
        <w:spacing w:after="0" w:line="240" w:lineRule="auto"/>
        <w:jc w:val="both"/>
        <w:rPr>
          <w:rFonts w:ascii="Times New Roman" w:eastAsia="Times New Roman" w:hAnsi="Times New Roman" w:cs="Times New Roman"/>
          <w:color w:val="000000"/>
          <w:sz w:val="16"/>
          <w:szCs w:val="20"/>
        </w:rPr>
      </w:pPr>
      <w:r w:rsidRPr="007A095F">
        <w:rPr>
          <w:rFonts w:ascii="Times New Roman" w:eastAsia="Times New Roman" w:hAnsi="Times New Roman" w:cs="Times New Roman"/>
          <w:color w:val="000000"/>
          <w:sz w:val="16"/>
          <w:szCs w:val="20"/>
        </w:rPr>
        <w:t>________________________________________________________________________________________________________________</w:t>
      </w:r>
    </w:p>
    <w:p w:rsidR="007A095F" w:rsidRPr="007A095F" w:rsidRDefault="007A095F" w:rsidP="007A095F">
      <w:pPr>
        <w:tabs>
          <w:tab w:val="left" w:pos="-1080"/>
          <w:tab w:val="left" w:pos="-720"/>
          <w:tab w:val="left" w:pos="0"/>
          <w:tab w:val="left" w:pos="810"/>
        </w:tabs>
        <w:spacing w:after="0" w:line="240" w:lineRule="auto"/>
        <w:ind w:left="1080"/>
        <w:jc w:val="both"/>
        <w:rPr>
          <w:rFonts w:ascii="Times New Roman" w:eastAsia="Times New Roman" w:hAnsi="Times New Roman" w:cs="Times New Roman"/>
          <w:color w:val="000000"/>
          <w:sz w:val="6"/>
          <w:szCs w:val="6"/>
        </w:rPr>
      </w:pPr>
      <w:r w:rsidRPr="007A095F">
        <w:rPr>
          <w:rFonts w:ascii="Times New Roman" w:eastAsia="Times New Roman" w:hAnsi="Times New Roman" w:cs="Times New Roman"/>
          <w:color w:val="000000"/>
          <w:sz w:val="24"/>
          <w:szCs w:val="20"/>
        </w:rPr>
        <w:t xml:space="preserve">I. SKUPAJ PRIHODKI </w:t>
      </w:r>
      <w:r w:rsidRPr="007A095F">
        <w:rPr>
          <w:rFonts w:ascii="Times New Roman" w:eastAsia="Times New Roman" w:hAnsi="Times New Roman" w:cs="Times New Roman"/>
          <w:color w:val="000000"/>
          <w:sz w:val="16"/>
          <w:szCs w:val="20"/>
        </w:rPr>
        <w:t>(70+71+72+73+74</w:t>
      </w:r>
      <w:r w:rsidR="00A544FB">
        <w:rPr>
          <w:rFonts w:ascii="Times New Roman" w:eastAsia="Times New Roman" w:hAnsi="Times New Roman" w:cs="Times New Roman"/>
          <w:color w:val="000000"/>
          <w:sz w:val="16"/>
          <w:szCs w:val="20"/>
        </w:rPr>
        <w:t>+78</w:t>
      </w:r>
      <w:r w:rsidRPr="007A095F">
        <w:rPr>
          <w:rFonts w:ascii="Times New Roman" w:eastAsia="Times New Roman" w:hAnsi="Times New Roman" w:cs="Times New Roman"/>
          <w:color w:val="000000"/>
          <w:sz w:val="16"/>
          <w:szCs w:val="20"/>
        </w:rPr>
        <w:t>)</w:t>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00384131" w:rsidRPr="00245235">
        <w:rPr>
          <w:rFonts w:ascii="Times New Roman" w:eastAsia="Times New Roman" w:hAnsi="Times New Roman" w:cs="Times New Roman"/>
          <w:color w:val="000000"/>
          <w:sz w:val="24"/>
          <w:szCs w:val="24"/>
        </w:rPr>
        <w:t>1.980.000,00</w:t>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p>
    <w:p w:rsidR="007A095F" w:rsidRPr="007A095F" w:rsidRDefault="007A095F" w:rsidP="007A095F">
      <w:pPr>
        <w:tabs>
          <w:tab w:val="left" w:pos="-1080"/>
          <w:tab w:val="left" w:pos="-720"/>
          <w:tab w:val="left" w:pos="0"/>
          <w:tab w:val="left" w:pos="810"/>
        </w:tabs>
        <w:spacing w:after="0" w:line="240" w:lineRule="auto"/>
        <w:ind w:left="1080"/>
        <w:jc w:val="both"/>
        <w:rPr>
          <w:rFonts w:ascii="Times New Roman" w:eastAsia="Times New Roman" w:hAnsi="Times New Roman" w:cs="Times New Roman"/>
          <w:color w:val="000000"/>
          <w:sz w:val="6"/>
          <w:szCs w:val="6"/>
        </w:rPr>
      </w:pPr>
      <w:r w:rsidRPr="007A095F">
        <w:rPr>
          <w:rFonts w:ascii="Times New Roman" w:eastAsia="Times New Roman" w:hAnsi="Times New Roman" w:cs="Times New Roman"/>
          <w:color w:val="000000"/>
          <w:sz w:val="24"/>
          <w:szCs w:val="20"/>
        </w:rPr>
        <w:t xml:space="preserve">TEKOČI PRIHODKI </w:t>
      </w:r>
      <w:r w:rsidRPr="007A095F">
        <w:rPr>
          <w:rFonts w:ascii="Times New Roman" w:eastAsia="Times New Roman" w:hAnsi="Times New Roman" w:cs="Times New Roman"/>
          <w:color w:val="000000"/>
          <w:sz w:val="16"/>
          <w:szCs w:val="20"/>
        </w:rPr>
        <w:t>(70+71)</w:t>
      </w:r>
      <w:r w:rsidR="00D463AE">
        <w:rPr>
          <w:rFonts w:ascii="Times New Roman" w:eastAsia="Times New Roman" w:hAnsi="Times New Roman" w:cs="Times New Roman"/>
          <w:color w:val="000000"/>
          <w:sz w:val="16"/>
          <w:szCs w:val="20"/>
        </w:rPr>
        <w:tab/>
      </w:r>
      <w:r w:rsidR="00D463AE">
        <w:rPr>
          <w:rFonts w:ascii="Times New Roman" w:eastAsia="Times New Roman" w:hAnsi="Times New Roman" w:cs="Times New Roman"/>
          <w:color w:val="000000"/>
          <w:sz w:val="16"/>
          <w:szCs w:val="20"/>
        </w:rPr>
        <w:tab/>
        <w:t xml:space="preserve">       </w:t>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00D463AE">
        <w:rPr>
          <w:rFonts w:ascii="Times New Roman" w:eastAsia="Times New Roman" w:hAnsi="Times New Roman" w:cs="Times New Roman"/>
          <w:color w:val="000000"/>
          <w:sz w:val="16"/>
          <w:szCs w:val="20"/>
        </w:rPr>
        <w:t xml:space="preserve">                </w:t>
      </w:r>
      <w:r w:rsidR="00384131">
        <w:rPr>
          <w:rFonts w:ascii="Times New Roman" w:eastAsia="Times New Roman" w:hAnsi="Times New Roman" w:cs="Times New Roman"/>
          <w:color w:val="000000"/>
          <w:sz w:val="20"/>
          <w:szCs w:val="20"/>
        </w:rPr>
        <w:t>1.558.486,99</w:t>
      </w:r>
      <w:r w:rsidRPr="007A095F">
        <w:rPr>
          <w:rFonts w:ascii="Times New Roman" w:eastAsia="Times New Roman" w:hAnsi="Times New Roman" w:cs="Times New Roman"/>
          <w:color w:val="000000"/>
          <w:sz w:val="24"/>
          <w:szCs w:val="20"/>
        </w:rPr>
        <w:tab/>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4"/>
          <w:szCs w:val="20"/>
        </w:rPr>
        <w:tab/>
        <w:t>70 DAVČNI PRIHODKI</w:t>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00384131" w:rsidRPr="00384131">
        <w:rPr>
          <w:rFonts w:ascii="Times New Roman" w:eastAsia="Times New Roman" w:hAnsi="Times New Roman" w:cs="Times New Roman"/>
          <w:color w:val="000000"/>
          <w:sz w:val="20"/>
          <w:szCs w:val="20"/>
        </w:rPr>
        <w:t>1.435.507,06</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700 Davki na dohodek in dobiček</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20"/>
          <w:szCs w:val="20"/>
        </w:rPr>
        <w:t>1.</w:t>
      </w:r>
      <w:r w:rsidR="00384131">
        <w:rPr>
          <w:rFonts w:ascii="Times New Roman" w:eastAsia="Times New Roman" w:hAnsi="Times New Roman" w:cs="Times New Roman"/>
          <w:color w:val="000000"/>
          <w:sz w:val="20"/>
          <w:szCs w:val="20"/>
        </w:rPr>
        <w:t>301.614,00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703 Davki na premoženje</w:t>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t>83.715,00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704 Domači davki na blago in storitve</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50.178,06</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706 Drugi davki</w:t>
      </w:r>
      <w:r w:rsidR="001C2ECA">
        <w:rPr>
          <w:rFonts w:ascii="Times New Roman" w:eastAsia="Times New Roman" w:hAnsi="Times New Roman" w:cs="Times New Roman"/>
          <w:color w:val="000000"/>
          <w:sz w:val="20"/>
          <w:szCs w:val="20"/>
        </w:rPr>
        <w:tab/>
      </w:r>
      <w:r w:rsidR="001C2ECA">
        <w:rPr>
          <w:rFonts w:ascii="Times New Roman" w:eastAsia="Times New Roman" w:hAnsi="Times New Roman" w:cs="Times New Roman"/>
          <w:color w:val="000000"/>
          <w:sz w:val="20"/>
          <w:szCs w:val="20"/>
        </w:rPr>
        <w:tab/>
      </w:r>
      <w:r w:rsidR="001C2ECA">
        <w:rPr>
          <w:rFonts w:ascii="Times New Roman" w:eastAsia="Times New Roman" w:hAnsi="Times New Roman" w:cs="Times New Roman"/>
          <w:color w:val="000000"/>
          <w:sz w:val="20"/>
          <w:szCs w:val="20"/>
        </w:rPr>
        <w:tab/>
      </w:r>
      <w:r w:rsidR="001C2ECA">
        <w:rPr>
          <w:rFonts w:ascii="Times New Roman" w:eastAsia="Times New Roman" w:hAnsi="Times New Roman" w:cs="Times New Roman"/>
          <w:color w:val="000000"/>
          <w:sz w:val="20"/>
          <w:szCs w:val="20"/>
        </w:rPr>
        <w:tab/>
      </w:r>
      <w:r w:rsidR="001C2ECA">
        <w:rPr>
          <w:rFonts w:ascii="Times New Roman" w:eastAsia="Times New Roman" w:hAnsi="Times New Roman" w:cs="Times New Roman"/>
          <w:color w:val="000000"/>
          <w:sz w:val="20"/>
          <w:szCs w:val="20"/>
        </w:rPr>
        <w:tab/>
      </w:r>
      <w:r w:rsidR="001C2ECA">
        <w:rPr>
          <w:rFonts w:ascii="Times New Roman" w:eastAsia="Times New Roman" w:hAnsi="Times New Roman" w:cs="Times New Roman"/>
          <w:color w:val="000000"/>
          <w:sz w:val="20"/>
          <w:szCs w:val="20"/>
        </w:rPr>
        <w:tab/>
      </w:r>
      <w:r w:rsidR="001C2ECA">
        <w:rPr>
          <w:rFonts w:ascii="Times New Roman" w:eastAsia="Times New Roman" w:hAnsi="Times New Roman" w:cs="Times New Roman"/>
          <w:color w:val="000000"/>
          <w:sz w:val="20"/>
          <w:szCs w:val="20"/>
        </w:rPr>
        <w:tab/>
      </w:r>
      <w:r w:rsidR="001C2ECA">
        <w:rPr>
          <w:rFonts w:ascii="Times New Roman" w:eastAsia="Times New Roman" w:hAnsi="Times New Roman" w:cs="Times New Roman"/>
          <w:color w:val="000000"/>
          <w:sz w:val="20"/>
          <w:szCs w:val="20"/>
        </w:rPr>
        <w:tab/>
      </w:r>
      <w:r w:rsidR="00D463AE">
        <w:rPr>
          <w:rFonts w:ascii="Times New Roman" w:eastAsia="Times New Roman" w:hAnsi="Times New Roman" w:cs="Times New Roman"/>
          <w:color w:val="000000"/>
          <w:sz w:val="20"/>
          <w:szCs w:val="20"/>
        </w:rPr>
        <w:t>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4"/>
          <w:szCs w:val="20"/>
        </w:rPr>
        <w:tab/>
        <w:t>71 NEDAVČNI PRIHODKI</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122.979,93</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710 Udeležba na dobičku in dohodki od premoženja</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91.109,93</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711 Takse in pristojbine</w:t>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t>170,00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712 Globe in</w:t>
      </w:r>
      <w:r w:rsidR="00384131">
        <w:rPr>
          <w:rFonts w:ascii="Times New Roman" w:eastAsia="Times New Roman" w:hAnsi="Times New Roman" w:cs="Times New Roman"/>
          <w:color w:val="000000"/>
          <w:sz w:val="20"/>
          <w:szCs w:val="20"/>
        </w:rPr>
        <w:t xml:space="preserve"> druge denarne kazni</w:t>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t>500,00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713 Prihodki od prodaje blaga in storitev</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714 Drugi nedavčni prihodki</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31.200,00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4"/>
          <w:szCs w:val="20"/>
        </w:rPr>
        <w:tab/>
        <w:t>72 KAPITALSKI PRIHODKI</w:t>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00384131" w:rsidRPr="00245235">
        <w:rPr>
          <w:rFonts w:ascii="Times New Roman" w:eastAsia="Times New Roman" w:hAnsi="Times New Roman" w:cs="Times New Roman"/>
          <w:color w:val="000000"/>
          <w:sz w:val="20"/>
          <w:szCs w:val="20"/>
        </w:rPr>
        <w:t>15.000,00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720 Prihodki od prodaje osnovnih sredstev</w:t>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ab/>
        <w:t>13.315,20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721 Prihodki od prodaje zalog</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722 Prihodki od prodaje zemljišč in neopredmetenih dolgoročnih sredstev</w:t>
      </w:r>
      <w:r w:rsidR="00882227">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1.684,80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4"/>
          <w:szCs w:val="20"/>
        </w:rPr>
        <w:tab/>
        <w:t>73 PREJETE DONACIJE</w:t>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0"/>
          <w:szCs w:val="20"/>
        </w:rPr>
        <w:t>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730 Prejete donacije iz domačih virov</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731 Prejete donacije iz tujine</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4"/>
          <w:szCs w:val="20"/>
        </w:rPr>
        <w:tab/>
        <w:t>74 TRANSFERNI PRIHODKI</w:t>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00384131">
        <w:rPr>
          <w:rFonts w:ascii="Times New Roman" w:eastAsia="Times New Roman" w:hAnsi="Times New Roman" w:cs="Times New Roman"/>
          <w:color w:val="000000"/>
          <w:sz w:val="20"/>
          <w:szCs w:val="20"/>
        </w:rPr>
        <w:t>406.513,01</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740 Transferni prihodki iz drugih javnofinančnih institucij</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00384131">
        <w:rPr>
          <w:rFonts w:ascii="Times New Roman" w:eastAsia="Times New Roman" w:hAnsi="Times New Roman" w:cs="Times New Roman"/>
          <w:color w:val="000000"/>
          <w:sz w:val="20"/>
          <w:szCs w:val="20"/>
        </w:rPr>
        <w:t>406.513,01</w:t>
      </w:r>
    </w:p>
    <w:p w:rsid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 xml:space="preserve">741 Prejeta sredstva iz državnega proračuna iz sredstev proračuna </w:t>
      </w:r>
      <w:proofErr w:type="spellStart"/>
      <w:r w:rsidRPr="007A095F">
        <w:rPr>
          <w:rFonts w:ascii="Times New Roman" w:eastAsia="Times New Roman" w:hAnsi="Times New Roman" w:cs="Times New Roman"/>
          <w:color w:val="000000"/>
          <w:sz w:val="20"/>
          <w:szCs w:val="20"/>
        </w:rPr>
        <w:t>Evr.unije</w:t>
      </w:r>
      <w:proofErr w:type="spellEnd"/>
      <w:r w:rsidRPr="007A095F">
        <w:rPr>
          <w:rFonts w:ascii="Times New Roman" w:eastAsia="Times New Roman" w:hAnsi="Times New Roman" w:cs="Times New Roman"/>
          <w:color w:val="000000"/>
          <w:sz w:val="20"/>
          <w:szCs w:val="20"/>
        </w:rPr>
        <w:tab/>
        <w:t>0,00</w:t>
      </w:r>
    </w:p>
    <w:p w:rsidR="00082E6A" w:rsidRDefault="00082E6A"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4"/>
          <w:szCs w:val="24"/>
        </w:rPr>
      </w:pPr>
      <w:r w:rsidRPr="00082E6A">
        <w:rPr>
          <w:rFonts w:ascii="Times New Roman" w:eastAsia="Times New Roman" w:hAnsi="Times New Roman" w:cs="Times New Roman"/>
          <w:color w:val="000000"/>
          <w:sz w:val="24"/>
          <w:szCs w:val="24"/>
        </w:rPr>
        <w:tab/>
        <w:t>78 PREJETA SREDSTVA IZ EVROPSKE UNIJE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0,00</w:t>
      </w:r>
    </w:p>
    <w:p w:rsidR="00082E6A" w:rsidRPr="007A095F" w:rsidRDefault="00082E6A"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082E6A">
        <w:rPr>
          <w:rFonts w:ascii="Times New Roman" w:eastAsia="Times New Roman" w:hAnsi="Times New Roman" w:cs="Times New Roman"/>
          <w:color w:val="000000"/>
          <w:sz w:val="20"/>
          <w:szCs w:val="20"/>
        </w:rPr>
        <w:tab/>
      </w:r>
      <w:r w:rsidRPr="00082E6A">
        <w:rPr>
          <w:rFonts w:ascii="Times New Roman" w:eastAsia="Times New Roman" w:hAnsi="Times New Roman" w:cs="Times New Roman"/>
          <w:color w:val="000000"/>
          <w:sz w:val="20"/>
          <w:szCs w:val="20"/>
        </w:rPr>
        <w:tab/>
        <w:t>787 Prejeta sredstva iz Evropske unije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0,00</w:t>
      </w:r>
    </w:p>
    <w:p w:rsidR="007A095F" w:rsidRPr="007A095F" w:rsidRDefault="007A095F" w:rsidP="007A095F">
      <w:pPr>
        <w:tabs>
          <w:tab w:val="left" w:pos="-1080"/>
          <w:tab w:val="left" w:pos="-720"/>
          <w:tab w:val="left" w:pos="0"/>
          <w:tab w:val="left" w:pos="810"/>
        </w:tabs>
        <w:spacing w:after="0" w:line="240" w:lineRule="auto"/>
        <w:jc w:val="both"/>
        <w:rPr>
          <w:rFonts w:ascii="Times New Roman" w:eastAsia="Times New Roman" w:hAnsi="Times New Roman" w:cs="Times New Roman"/>
          <w:color w:val="000000"/>
          <w:sz w:val="6"/>
          <w:szCs w:val="6"/>
        </w:rPr>
      </w:pPr>
    </w:p>
    <w:p w:rsidR="007A095F" w:rsidRPr="00245235" w:rsidRDefault="007A095F" w:rsidP="007A095F">
      <w:pPr>
        <w:tabs>
          <w:tab w:val="left" w:pos="-1080"/>
          <w:tab w:val="left" w:pos="-720"/>
          <w:tab w:val="left" w:pos="0"/>
          <w:tab w:val="left" w:pos="810"/>
        </w:tabs>
        <w:spacing w:after="0" w:line="240" w:lineRule="auto"/>
        <w:ind w:left="1080"/>
        <w:jc w:val="both"/>
        <w:rPr>
          <w:rFonts w:ascii="Times New Roman" w:eastAsia="Times New Roman" w:hAnsi="Times New Roman" w:cs="Times New Roman"/>
          <w:color w:val="000000"/>
          <w:sz w:val="24"/>
          <w:szCs w:val="24"/>
        </w:rPr>
      </w:pPr>
      <w:r w:rsidRPr="007A095F">
        <w:rPr>
          <w:rFonts w:ascii="Times New Roman" w:eastAsia="Times New Roman" w:hAnsi="Times New Roman" w:cs="Times New Roman"/>
          <w:color w:val="000000"/>
          <w:sz w:val="24"/>
          <w:szCs w:val="20"/>
        </w:rPr>
        <w:t xml:space="preserve">II. SKUPAJ ODHODKI </w:t>
      </w:r>
      <w:r w:rsidRPr="007A095F">
        <w:rPr>
          <w:rFonts w:ascii="Times New Roman" w:eastAsia="Times New Roman" w:hAnsi="Times New Roman" w:cs="Times New Roman"/>
          <w:color w:val="000000"/>
          <w:sz w:val="16"/>
          <w:szCs w:val="20"/>
        </w:rPr>
        <w:t>(40+41+42+43)</w:t>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00E423C8">
        <w:rPr>
          <w:rFonts w:ascii="Times New Roman" w:eastAsia="Times New Roman" w:hAnsi="Times New Roman" w:cs="Times New Roman"/>
          <w:color w:val="000000"/>
          <w:sz w:val="24"/>
          <w:szCs w:val="24"/>
        </w:rPr>
        <w:t>1.980.000,00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6"/>
          <w:szCs w:val="6"/>
        </w:rPr>
      </w:pPr>
      <w:r w:rsidRPr="007A095F">
        <w:rPr>
          <w:rFonts w:ascii="Times New Roman" w:eastAsia="Times New Roman" w:hAnsi="Times New Roman" w:cs="Times New Roman"/>
          <w:color w:val="000000"/>
          <w:sz w:val="24"/>
          <w:szCs w:val="20"/>
        </w:rPr>
        <w:tab/>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4"/>
          <w:szCs w:val="20"/>
        </w:rPr>
        <w:tab/>
        <w:t>40 TEKOČI ODHODKI</w:t>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00E423C8">
        <w:rPr>
          <w:rFonts w:ascii="Times New Roman" w:eastAsia="Times New Roman" w:hAnsi="Times New Roman" w:cs="Times New Roman"/>
          <w:color w:val="000000"/>
          <w:sz w:val="20"/>
          <w:szCs w:val="20"/>
        </w:rPr>
        <w:t>705.962,24</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400 Plače in drugi izdatki zaposlenim</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00E423C8">
        <w:rPr>
          <w:rFonts w:ascii="Times New Roman" w:eastAsia="Times New Roman" w:hAnsi="Times New Roman" w:cs="Times New Roman"/>
          <w:color w:val="000000"/>
          <w:sz w:val="20"/>
          <w:szCs w:val="20"/>
        </w:rPr>
        <w:t>149.676,00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401 Prispevki delodajalcev za socialno varnost</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00E423C8">
        <w:rPr>
          <w:rFonts w:ascii="Times New Roman" w:eastAsia="Times New Roman" w:hAnsi="Times New Roman" w:cs="Times New Roman"/>
          <w:color w:val="000000"/>
          <w:sz w:val="20"/>
          <w:szCs w:val="20"/>
        </w:rPr>
        <w:t>24.024,00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402 Izdatki za blago in storitve</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00E423C8">
        <w:rPr>
          <w:rFonts w:ascii="Times New Roman" w:eastAsia="Times New Roman" w:hAnsi="Times New Roman" w:cs="Times New Roman"/>
          <w:color w:val="000000"/>
          <w:sz w:val="20"/>
          <w:szCs w:val="20"/>
        </w:rPr>
        <w:t>521.262,24</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403 Plačila domačih obresti</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00E423C8">
        <w:rPr>
          <w:rFonts w:ascii="Times New Roman" w:eastAsia="Times New Roman" w:hAnsi="Times New Roman" w:cs="Times New Roman"/>
          <w:color w:val="000000"/>
          <w:sz w:val="20"/>
          <w:szCs w:val="20"/>
        </w:rPr>
        <w:t>8</w:t>
      </w:r>
      <w:r w:rsidR="007B4CB1">
        <w:rPr>
          <w:rFonts w:ascii="Times New Roman" w:eastAsia="Times New Roman" w:hAnsi="Times New Roman" w:cs="Times New Roman"/>
          <w:color w:val="000000"/>
          <w:sz w:val="20"/>
          <w:szCs w:val="20"/>
        </w:rPr>
        <w:t>.000,00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409 Rezerve</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00E423C8">
        <w:rPr>
          <w:rFonts w:ascii="Times New Roman" w:eastAsia="Times New Roman" w:hAnsi="Times New Roman" w:cs="Times New Roman"/>
          <w:color w:val="000000"/>
          <w:sz w:val="20"/>
          <w:szCs w:val="20"/>
        </w:rPr>
        <w:t>3</w:t>
      </w:r>
      <w:r w:rsidR="00F35E9A">
        <w:rPr>
          <w:rFonts w:ascii="Times New Roman" w:eastAsia="Times New Roman" w:hAnsi="Times New Roman" w:cs="Times New Roman"/>
          <w:color w:val="000000"/>
          <w:sz w:val="20"/>
          <w:szCs w:val="20"/>
        </w:rPr>
        <w:t>.000,00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4"/>
          <w:szCs w:val="20"/>
        </w:rPr>
        <w:lastRenderedPageBreak/>
        <w:tab/>
        <w:t>41 TEKOČI TRANSFERI</w:t>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t xml:space="preserve">           </w:t>
      </w:r>
      <w:r w:rsidR="00E423C8">
        <w:rPr>
          <w:rFonts w:ascii="Times New Roman" w:eastAsia="Times New Roman" w:hAnsi="Times New Roman" w:cs="Times New Roman"/>
          <w:color w:val="000000"/>
          <w:sz w:val="20"/>
          <w:szCs w:val="20"/>
        </w:rPr>
        <w:t>863.536,94</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410 Subvencije</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00E423C8">
        <w:rPr>
          <w:rFonts w:ascii="Times New Roman" w:eastAsia="Times New Roman" w:hAnsi="Times New Roman" w:cs="Times New Roman"/>
          <w:color w:val="000000"/>
          <w:sz w:val="20"/>
          <w:szCs w:val="20"/>
        </w:rPr>
        <w:t>8.000,00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411 Transferi posameznikom in gospodinjstvom</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00E423C8">
        <w:rPr>
          <w:rFonts w:ascii="Times New Roman" w:eastAsia="Times New Roman" w:hAnsi="Times New Roman" w:cs="Times New Roman"/>
          <w:color w:val="000000"/>
          <w:sz w:val="20"/>
          <w:szCs w:val="20"/>
        </w:rPr>
        <w:t>548.898,71</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412 Transferi neprofitnim organizacijam in ustanovam</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00E423C8">
        <w:rPr>
          <w:rFonts w:ascii="Times New Roman" w:eastAsia="Times New Roman" w:hAnsi="Times New Roman" w:cs="Times New Roman"/>
          <w:color w:val="000000"/>
          <w:sz w:val="20"/>
          <w:szCs w:val="20"/>
        </w:rPr>
        <w:t>119.973,03</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413 Drugi tekoči domači transferi</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00E423C8">
        <w:rPr>
          <w:rFonts w:ascii="Times New Roman" w:eastAsia="Times New Roman" w:hAnsi="Times New Roman" w:cs="Times New Roman"/>
          <w:color w:val="000000"/>
          <w:sz w:val="20"/>
          <w:szCs w:val="20"/>
        </w:rPr>
        <w:t>186.665,20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414 Tekoči transferi v tujino</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4"/>
          <w:szCs w:val="20"/>
        </w:rPr>
        <w:tab/>
        <w:t xml:space="preserve">42 INVESTICIJSKI ODHODKI </w:t>
      </w:r>
      <w:r w:rsidR="00F0709F">
        <w:rPr>
          <w:rFonts w:ascii="Times New Roman" w:eastAsia="Times New Roman" w:hAnsi="Times New Roman" w:cs="Times New Roman"/>
          <w:color w:val="000000"/>
          <w:sz w:val="24"/>
          <w:szCs w:val="20"/>
        </w:rPr>
        <w:tab/>
      </w:r>
      <w:r w:rsidR="00F0709F">
        <w:rPr>
          <w:rFonts w:ascii="Times New Roman" w:eastAsia="Times New Roman" w:hAnsi="Times New Roman" w:cs="Times New Roman"/>
          <w:color w:val="000000"/>
          <w:sz w:val="24"/>
          <w:szCs w:val="20"/>
        </w:rPr>
        <w:tab/>
      </w:r>
      <w:r w:rsidR="00F0709F">
        <w:rPr>
          <w:rFonts w:ascii="Times New Roman" w:eastAsia="Times New Roman" w:hAnsi="Times New Roman" w:cs="Times New Roman"/>
          <w:color w:val="000000"/>
          <w:sz w:val="24"/>
          <w:szCs w:val="20"/>
        </w:rPr>
        <w:tab/>
      </w:r>
      <w:r w:rsidR="00F0709F">
        <w:rPr>
          <w:rFonts w:ascii="Times New Roman" w:eastAsia="Times New Roman" w:hAnsi="Times New Roman" w:cs="Times New Roman"/>
          <w:color w:val="000000"/>
          <w:sz w:val="24"/>
          <w:szCs w:val="20"/>
        </w:rPr>
        <w:tab/>
      </w:r>
      <w:r w:rsidR="00F0709F">
        <w:rPr>
          <w:rFonts w:ascii="Times New Roman" w:eastAsia="Times New Roman" w:hAnsi="Times New Roman" w:cs="Times New Roman"/>
          <w:color w:val="000000"/>
          <w:sz w:val="24"/>
          <w:szCs w:val="20"/>
        </w:rPr>
        <w:tab/>
      </w:r>
      <w:r w:rsidR="00F0709F" w:rsidRPr="00245235">
        <w:rPr>
          <w:rFonts w:ascii="Times New Roman" w:eastAsia="Times New Roman" w:hAnsi="Times New Roman" w:cs="Times New Roman"/>
          <w:color w:val="000000"/>
          <w:sz w:val="20"/>
          <w:szCs w:val="20"/>
        </w:rPr>
        <w:t xml:space="preserve">        </w:t>
      </w:r>
      <w:r w:rsidR="00245235">
        <w:rPr>
          <w:rFonts w:ascii="Times New Roman" w:eastAsia="Times New Roman" w:hAnsi="Times New Roman" w:cs="Times New Roman"/>
          <w:color w:val="000000"/>
          <w:sz w:val="20"/>
          <w:szCs w:val="20"/>
        </w:rPr>
        <w:t xml:space="preserve">     </w:t>
      </w:r>
      <w:r w:rsidR="00E423C8">
        <w:rPr>
          <w:rFonts w:ascii="Times New Roman" w:eastAsia="Times New Roman" w:hAnsi="Times New Roman" w:cs="Times New Roman"/>
          <w:color w:val="000000"/>
          <w:sz w:val="20"/>
          <w:szCs w:val="20"/>
        </w:rPr>
        <w:t xml:space="preserve"> 380.814,11</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420 Nakup i</w:t>
      </w:r>
      <w:r w:rsidR="00F0709F">
        <w:rPr>
          <w:rFonts w:ascii="Times New Roman" w:eastAsia="Times New Roman" w:hAnsi="Times New Roman" w:cs="Times New Roman"/>
          <w:color w:val="000000"/>
          <w:sz w:val="20"/>
          <w:szCs w:val="20"/>
        </w:rPr>
        <w:t>n gradnja os</w:t>
      </w:r>
      <w:r w:rsidR="00E423C8">
        <w:rPr>
          <w:rFonts w:ascii="Times New Roman" w:eastAsia="Times New Roman" w:hAnsi="Times New Roman" w:cs="Times New Roman"/>
          <w:color w:val="000000"/>
          <w:sz w:val="20"/>
          <w:szCs w:val="20"/>
        </w:rPr>
        <w:t>novnih sredstev</w:t>
      </w:r>
      <w:r w:rsidR="00E423C8">
        <w:rPr>
          <w:rFonts w:ascii="Times New Roman" w:eastAsia="Times New Roman" w:hAnsi="Times New Roman" w:cs="Times New Roman"/>
          <w:color w:val="000000"/>
          <w:sz w:val="20"/>
          <w:szCs w:val="20"/>
        </w:rPr>
        <w:tab/>
      </w:r>
      <w:r w:rsidR="00E423C8">
        <w:rPr>
          <w:rFonts w:ascii="Times New Roman" w:eastAsia="Times New Roman" w:hAnsi="Times New Roman" w:cs="Times New Roman"/>
          <w:color w:val="000000"/>
          <w:sz w:val="20"/>
          <w:szCs w:val="20"/>
        </w:rPr>
        <w:tab/>
      </w:r>
      <w:r w:rsidR="00E423C8">
        <w:rPr>
          <w:rFonts w:ascii="Times New Roman" w:eastAsia="Times New Roman" w:hAnsi="Times New Roman" w:cs="Times New Roman"/>
          <w:color w:val="000000"/>
          <w:sz w:val="20"/>
          <w:szCs w:val="20"/>
        </w:rPr>
        <w:tab/>
      </w:r>
      <w:r w:rsidR="00E423C8">
        <w:rPr>
          <w:rFonts w:ascii="Times New Roman" w:eastAsia="Times New Roman" w:hAnsi="Times New Roman" w:cs="Times New Roman"/>
          <w:color w:val="000000"/>
          <w:sz w:val="20"/>
          <w:szCs w:val="20"/>
        </w:rPr>
        <w:tab/>
      </w:r>
      <w:r w:rsidR="00E423C8">
        <w:rPr>
          <w:rFonts w:ascii="Times New Roman" w:eastAsia="Times New Roman" w:hAnsi="Times New Roman" w:cs="Times New Roman"/>
          <w:color w:val="000000"/>
          <w:sz w:val="20"/>
          <w:szCs w:val="20"/>
        </w:rPr>
        <w:tab/>
        <w:t>380.814,11</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4"/>
          <w:szCs w:val="20"/>
        </w:rPr>
        <w:tab/>
        <w:t>43 INVESTICIJSKI TRANSFERI</w:t>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00E423C8">
        <w:rPr>
          <w:rFonts w:ascii="Times New Roman" w:eastAsia="Times New Roman" w:hAnsi="Times New Roman" w:cs="Times New Roman"/>
          <w:color w:val="000000"/>
          <w:sz w:val="20"/>
          <w:szCs w:val="20"/>
        </w:rPr>
        <w:t>29.686,71</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 xml:space="preserve">431 Investicijski transferi pravnim in fizičnim osebam, ki niso </w:t>
      </w:r>
      <w:proofErr w:type="spellStart"/>
      <w:r w:rsidRPr="007A095F">
        <w:rPr>
          <w:rFonts w:ascii="Times New Roman" w:eastAsia="Times New Roman" w:hAnsi="Times New Roman" w:cs="Times New Roman"/>
          <w:color w:val="000000"/>
          <w:sz w:val="20"/>
          <w:szCs w:val="20"/>
        </w:rPr>
        <w:t>pror</w:t>
      </w:r>
      <w:proofErr w:type="spellEnd"/>
      <w:r w:rsidRPr="007A095F">
        <w:rPr>
          <w:rFonts w:ascii="Times New Roman" w:eastAsia="Times New Roman" w:hAnsi="Times New Roman" w:cs="Times New Roman"/>
          <w:color w:val="000000"/>
          <w:sz w:val="20"/>
          <w:szCs w:val="20"/>
        </w:rPr>
        <w:t>.upor.</w:t>
      </w:r>
      <w:r w:rsidRPr="007A095F">
        <w:rPr>
          <w:rFonts w:ascii="Times New Roman" w:eastAsia="Times New Roman" w:hAnsi="Times New Roman" w:cs="Times New Roman"/>
          <w:color w:val="000000"/>
          <w:sz w:val="20"/>
          <w:szCs w:val="20"/>
        </w:rPr>
        <w:tab/>
      </w:r>
      <w:r w:rsidR="00E423C8">
        <w:rPr>
          <w:rFonts w:ascii="Times New Roman" w:eastAsia="Times New Roman" w:hAnsi="Times New Roman" w:cs="Times New Roman"/>
          <w:color w:val="000000"/>
          <w:sz w:val="20"/>
          <w:szCs w:val="20"/>
        </w:rPr>
        <w:t>14.250,00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6"/>
          <w:szCs w:val="6"/>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432 Investicijski transferi proračunskim uporabnikom</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00E423C8">
        <w:rPr>
          <w:rFonts w:ascii="Times New Roman" w:eastAsia="Times New Roman" w:hAnsi="Times New Roman" w:cs="Times New Roman"/>
          <w:color w:val="000000"/>
          <w:sz w:val="20"/>
          <w:szCs w:val="20"/>
        </w:rPr>
        <w:t>15.436,71</w:t>
      </w:r>
      <w:r w:rsidRPr="007A095F">
        <w:rPr>
          <w:rFonts w:ascii="Times New Roman" w:eastAsia="Times New Roman" w:hAnsi="Times New Roman" w:cs="Times New Roman"/>
          <w:color w:val="000000"/>
          <w:sz w:val="24"/>
          <w:szCs w:val="20"/>
        </w:rPr>
        <w:tab/>
      </w:r>
    </w:p>
    <w:p w:rsidR="007A095F" w:rsidRPr="007A095F" w:rsidRDefault="007A095F" w:rsidP="007A095F">
      <w:pPr>
        <w:tabs>
          <w:tab w:val="left" w:pos="-1080"/>
          <w:tab w:val="left" w:pos="-720"/>
          <w:tab w:val="left" w:pos="0"/>
          <w:tab w:val="left" w:pos="810"/>
        </w:tabs>
        <w:spacing w:after="0" w:line="240" w:lineRule="auto"/>
        <w:ind w:left="1080"/>
        <w:jc w:val="both"/>
        <w:rPr>
          <w:rFonts w:ascii="Times New Roman" w:eastAsia="Times New Roman" w:hAnsi="Times New Roman" w:cs="Times New Roman"/>
          <w:color w:val="000000"/>
          <w:sz w:val="24"/>
          <w:szCs w:val="24"/>
        </w:rPr>
      </w:pPr>
      <w:r w:rsidRPr="007A095F">
        <w:rPr>
          <w:rFonts w:ascii="Times New Roman" w:eastAsia="Times New Roman" w:hAnsi="Times New Roman" w:cs="Times New Roman"/>
          <w:color w:val="000000"/>
          <w:sz w:val="24"/>
          <w:szCs w:val="20"/>
        </w:rPr>
        <w:t xml:space="preserve">III. PRORAČUNSKI PRESEŽEK </w:t>
      </w:r>
      <w:r w:rsidRPr="007A095F">
        <w:rPr>
          <w:rFonts w:ascii="Times New Roman" w:eastAsia="Times New Roman" w:hAnsi="Times New Roman" w:cs="Times New Roman"/>
          <w:color w:val="000000"/>
          <w:sz w:val="16"/>
          <w:szCs w:val="20"/>
        </w:rPr>
        <w:t>(I.-II.)</w:t>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t xml:space="preserve">                 </w:t>
      </w:r>
      <w:r w:rsidRPr="007A095F">
        <w:rPr>
          <w:rFonts w:ascii="Times New Roman" w:eastAsia="Times New Roman" w:hAnsi="Times New Roman" w:cs="Times New Roman"/>
          <w:color w:val="000000"/>
          <w:sz w:val="16"/>
          <w:szCs w:val="20"/>
        </w:rPr>
        <w:tab/>
        <w:t xml:space="preserve">          </w:t>
      </w:r>
      <w:r w:rsidR="00E423C8">
        <w:rPr>
          <w:rFonts w:ascii="Times New Roman" w:eastAsia="Times New Roman" w:hAnsi="Times New Roman" w:cs="Times New Roman"/>
          <w:color w:val="000000"/>
          <w:sz w:val="16"/>
          <w:szCs w:val="20"/>
        </w:rPr>
        <w:t xml:space="preserve">    0,00</w:t>
      </w:r>
    </w:p>
    <w:p w:rsidR="007A095F" w:rsidRPr="007A095F" w:rsidRDefault="007A095F" w:rsidP="007A095F">
      <w:pPr>
        <w:tabs>
          <w:tab w:val="left" w:pos="-1080"/>
          <w:tab w:val="left" w:pos="-720"/>
          <w:tab w:val="left" w:pos="0"/>
          <w:tab w:val="left" w:pos="810"/>
        </w:tabs>
        <w:spacing w:after="0" w:line="240" w:lineRule="auto"/>
        <w:ind w:left="1080"/>
        <w:jc w:val="both"/>
        <w:rPr>
          <w:rFonts w:ascii="Times New Roman" w:eastAsia="Times New Roman" w:hAnsi="Times New Roman" w:cs="Times New Roman"/>
          <w:color w:val="000000"/>
          <w:sz w:val="16"/>
          <w:szCs w:val="20"/>
        </w:rPr>
      </w:pPr>
      <w:r w:rsidRPr="007A095F">
        <w:rPr>
          <w:rFonts w:ascii="Times New Roman" w:eastAsia="Times New Roman" w:hAnsi="Times New Roman" w:cs="Times New Roman"/>
          <w:color w:val="000000"/>
          <w:sz w:val="24"/>
          <w:szCs w:val="20"/>
        </w:rPr>
        <w:tab/>
        <w:t>(PRORAČUNSKI PRIMANJKLJAJ)</w:t>
      </w:r>
    </w:p>
    <w:p w:rsidR="007A095F" w:rsidRPr="007A095F" w:rsidRDefault="007A095F" w:rsidP="007A095F">
      <w:pPr>
        <w:tabs>
          <w:tab w:val="left" w:pos="-1080"/>
          <w:tab w:val="left" w:pos="-720"/>
          <w:tab w:val="left" w:pos="0"/>
          <w:tab w:val="left" w:pos="810"/>
        </w:tabs>
        <w:spacing w:after="0" w:line="240" w:lineRule="auto"/>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4"/>
          <w:szCs w:val="20"/>
        </w:rPr>
        <w:t>___________________________________________________________________________</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6"/>
          <w:szCs w:val="6"/>
        </w:rPr>
      </w:pP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4"/>
          <w:szCs w:val="20"/>
        </w:rPr>
        <w:tab/>
      </w:r>
      <w:proofErr w:type="spellStart"/>
      <w:r w:rsidRPr="007A095F">
        <w:rPr>
          <w:rFonts w:ascii="Times New Roman" w:eastAsia="Times New Roman" w:hAnsi="Times New Roman" w:cs="Times New Roman"/>
          <w:color w:val="000000"/>
          <w:sz w:val="24"/>
          <w:szCs w:val="20"/>
        </w:rPr>
        <w:t>B.RAČUN</w:t>
      </w:r>
      <w:proofErr w:type="spellEnd"/>
      <w:r w:rsidRPr="007A095F">
        <w:rPr>
          <w:rFonts w:ascii="Times New Roman" w:eastAsia="Times New Roman" w:hAnsi="Times New Roman" w:cs="Times New Roman"/>
          <w:color w:val="000000"/>
          <w:sz w:val="24"/>
          <w:szCs w:val="20"/>
        </w:rPr>
        <w:t xml:space="preserve"> FINANČNIH TERJATEV IN NALOŽB</w:t>
      </w:r>
    </w:p>
    <w:p w:rsidR="007A095F" w:rsidRPr="007A095F" w:rsidRDefault="007A095F" w:rsidP="007A095F">
      <w:pPr>
        <w:tabs>
          <w:tab w:val="left" w:pos="-1080"/>
          <w:tab w:val="left" w:pos="-720"/>
          <w:tab w:val="left" w:pos="0"/>
          <w:tab w:val="left" w:pos="81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16"/>
          <w:szCs w:val="20"/>
        </w:rPr>
        <w:t xml:space="preserve">________________________________________________________________________________________________________________ </w:t>
      </w:r>
      <w:r w:rsidRPr="007A095F">
        <w:rPr>
          <w:rFonts w:ascii="Times New Roman" w:eastAsia="Times New Roman" w:hAnsi="Times New Roman" w:cs="Times New Roman"/>
          <w:color w:val="000000"/>
          <w:sz w:val="16"/>
          <w:szCs w:val="20"/>
        </w:rPr>
        <w:tab/>
        <w:t>Skupina/Podskupina kontov/Konto/</w:t>
      </w:r>
      <w:proofErr w:type="spellStart"/>
      <w:r w:rsidRPr="007A095F">
        <w:rPr>
          <w:rFonts w:ascii="Times New Roman" w:eastAsia="Times New Roman" w:hAnsi="Times New Roman" w:cs="Times New Roman"/>
          <w:color w:val="000000"/>
          <w:sz w:val="16"/>
          <w:szCs w:val="20"/>
        </w:rPr>
        <w:t>Podkonto</w:t>
      </w:r>
      <w:proofErr w:type="spellEnd"/>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t xml:space="preserve">     </w:t>
      </w:r>
      <w:r w:rsidR="000A30ED">
        <w:rPr>
          <w:rFonts w:ascii="Times New Roman" w:eastAsia="Times New Roman" w:hAnsi="Times New Roman" w:cs="Times New Roman"/>
          <w:color w:val="000000"/>
          <w:sz w:val="20"/>
          <w:szCs w:val="20"/>
        </w:rPr>
        <w:t>Proračun leta 2015</w:t>
      </w:r>
    </w:p>
    <w:p w:rsidR="007A095F" w:rsidRPr="007A095F" w:rsidRDefault="007A095F" w:rsidP="007A095F">
      <w:pPr>
        <w:tabs>
          <w:tab w:val="left" w:pos="-1080"/>
          <w:tab w:val="left" w:pos="-720"/>
          <w:tab w:val="left" w:pos="0"/>
          <w:tab w:val="left" w:pos="810"/>
        </w:tabs>
        <w:spacing w:after="0" w:line="240" w:lineRule="auto"/>
        <w:jc w:val="both"/>
        <w:rPr>
          <w:rFonts w:ascii="Times New Roman" w:eastAsia="Times New Roman" w:hAnsi="Times New Roman" w:cs="Times New Roman"/>
          <w:color w:val="000000"/>
          <w:sz w:val="16"/>
          <w:szCs w:val="20"/>
        </w:rPr>
      </w:pPr>
      <w:r w:rsidRPr="007A095F">
        <w:rPr>
          <w:rFonts w:ascii="Times New Roman" w:eastAsia="Times New Roman" w:hAnsi="Times New Roman" w:cs="Times New Roman"/>
          <w:color w:val="000000"/>
          <w:sz w:val="16"/>
          <w:szCs w:val="20"/>
        </w:rPr>
        <w:t>________________________________________________________________________________________________________________</w:t>
      </w:r>
    </w:p>
    <w:p w:rsidR="007A095F" w:rsidRPr="007A095F" w:rsidRDefault="007A095F" w:rsidP="007A095F">
      <w:pPr>
        <w:tabs>
          <w:tab w:val="left" w:pos="-1080"/>
          <w:tab w:val="left" w:pos="-720"/>
          <w:tab w:val="left" w:pos="0"/>
          <w:tab w:val="left" w:pos="810"/>
        </w:tabs>
        <w:spacing w:after="0" w:line="240" w:lineRule="auto"/>
        <w:ind w:left="1080"/>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4"/>
          <w:szCs w:val="20"/>
        </w:rPr>
        <w:t xml:space="preserve">IV. PREJETA VRAČILA DANIH POSOJIL IN </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t xml:space="preserve">PRODAJA KAPITALSKIH DELEŽEV </w:t>
      </w:r>
      <w:r w:rsidRPr="007A095F">
        <w:rPr>
          <w:rFonts w:ascii="Times New Roman" w:eastAsia="Times New Roman" w:hAnsi="Times New Roman" w:cs="Times New Roman"/>
          <w:color w:val="000000"/>
          <w:sz w:val="16"/>
          <w:szCs w:val="20"/>
        </w:rPr>
        <w:t>(750+751+752)</w:t>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20"/>
          <w:szCs w:val="20"/>
        </w:rPr>
        <w:t>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4"/>
          <w:szCs w:val="20"/>
        </w:rPr>
        <w:tab/>
        <w:t>75 PREJETA VRAČILA DANIH POSOJIL</w:t>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0"/>
          <w:szCs w:val="20"/>
        </w:rPr>
        <w:t>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750 Prejeta vračila danih posojil</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751 Prodaja kapitalskih deležev</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752 Kupnine iz naslova privatizacije</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0,00</w:t>
      </w:r>
    </w:p>
    <w:p w:rsidR="007A095F" w:rsidRPr="007A095F" w:rsidRDefault="007A095F" w:rsidP="007A095F">
      <w:pPr>
        <w:tabs>
          <w:tab w:val="left" w:pos="-1080"/>
          <w:tab w:val="left" w:pos="-720"/>
          <w:tab w:val="left" w:pos="0"/>
          <w:tab w:val="left" w:pos="810"/>
        </w:tabs>
        <w:spacing w:after="0" w:line="240" w:lineRule="auto"/>
        <w:ind w:left="1080"/>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4"/>
          <w:szCs w:val="20"/>
        </w:rPr>
        <w:t xml:space="preserve">V.  DANA POSOJILA IN POVEČANJE </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16"/>
          <w:szCs w:val="20"/>
        </w:rPr>
      </w:pP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t xml:space="preserve">KAPITALSKIH DELEŽEV </w:t>
      </w:r>
      <w:r w:rsidRPr="007A095F">
        <w:rPr>
          <w:rFonts w:ascii="Times New Roman" w:eastAsia="Times New Roman" w:hAnsi="Times New Roman" w:cs="Times New Roman"/>
          <w:color w:val="000000"/>
          <w:sz w:val="16"/>
          <w:szCs w:val="20"/>
        </w:rPr>
        <w:t>(440+441+442+443)</w:t>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20"/>
          <w:szCs w:val="20"/>
        </w:rPr>
        <w:t>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4"/>
          <w:szCs w:val="20"/>
        </w:rPr>
        <w:tab/>
        <w:t>44 DANA POSOJILA IN</w:t>
      </w:r>
      <w:r w:rsidR="00667EA3">
        <w:rPr>
          <w:rFonts w:ascii="Times New Roman" w:eastAsia="Times New Roman" w:hAnsi="Times New Roman" w:cs="Times New Roman"/>
          <w:color w:val="000000"/>
          <w:sz w:val="24"/>
          <w:szCs w:val="20"/>
        </w:rPr>
        <w:t xml:space="preserve"> POVEČA</w:t>
      </w:r>
      <w:r w:rsidR="00E423C8">
        <w:rPr>
          <w:rFonts w:ascii="Times New Roman" w:eastAsia="Times New Roman" w:hAnsi="Times New Roman" w:cs="Times New Roman"/>
          <w:color w:val="000000"/>
          <w:sz w:val="24"/>
          <w:szCs w:val="20"/>
        </w:rPr>
        <w:t xml:space="preserve">NJE KAPITALSKIH DELEŽEV               </w:t>
      </w:r>
      <w:r w:rsidR="00667EA3">
        <w:rPr>
          <w:rFonts w:ascii="Times New Roman" w:eastAsia="Times New Roman" w:hAnsi="Times New Roman" w:cs="Times New Roman"/>
          <w:color w:val="000000"/>
          <w:sz w:val="24"/>
          <w:szCs w:val="20"/>
        </w:rPr>
        <w:t>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440 Dana posojila</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441 Povečanje kapitalskih del</w:t>
      </w:r>
      <w:r w:rsidR="00667EA3">
        <w:rPr>
          <w:rFonts w:ascii="Times New Roman" w:eastAsia="Times New Roman" w:hAnsi="Times New Roman" w:cs="Times New Roman"/>
          <w:color w:val="000000"/>
          <w:sz w:val="20"/>
          <w:szCs w:val="20"/>
        </w:rPr>
        <w:t>ežev i</w:t>
      </w:r>
      <w:r w:rsidR="00E423C8">
        <w:rPr>
          <w:rFonts w:ascii="Times New Roman" w:eastAsia="Times New Roman" w:hAnsi="Times New Roman" w:cs="Times New Roman"/>
          <w:color w:val="000000"/>
          <w:sz w:val="20"/>
          <w:szCs w:val="20"/>
        </w:rPr>
        <w:t>n finančnih naložb</w:t>
      </w:r>
      <w:r w:rsidR="00E423C8">
        <w:rPr>
          <w:rFonts w:ascii="Times New Roman" w:eastAsia="Times New Roman" w:hAnsi="Times New Roman" w:cs="Times New Roman"/>
          <w:color w:val="000000"/>
          <w:sz w:val="20"/>
          <w:szCs w:val="20"/>
        </w:rPr>
        <w:tab/>
      </w:r>
      <w:r w:rsidR="00E423C8">
        <w:rPr>
          <w:rFonts w:ascii="Times New Roman" w:eastAsia="Times New Roman" w:hAnsi="Times New Roman" w:cs="Times New Roman"/>
          <w:color w:val="000000"/>
          <w:sz w:val="20"/>
          <w:szCs w:val="20"/>
        </w:rPr>
        <w:tab/>
      </w:r>
      <w:r w:rsidR="00E423C8">
        <w:rPr>
          <w:rFonts w:ascii="Times New Roman" w:eastAsia="Times New Roman" w:hAnsi="Times New Roman" w:cs="Times New Roman"/>
          <w:color w:val="000000"/>
          <w:sz w:val="20"/>
          <w:szCs w:val="20"/>
        </w:rPr>
        <w:tab/>
        <w:t xml:space="preserve">              </w:t>
      </w:r>
      <w:r w:rsidR="00667EA3">
        <w:rPr>
          <w:rFonts w:ascii="Times New Roman" w:eastAsia="Times New Roman" w:hAnsi="Times New Roman" w:cs="Times New Roman"/>
          <w:color w:val="000000"/>
          <w:sz w:val="20"/>
          <w:szCs w:val="20"/>
        </w:rPr>
        <w:t>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442 Poraba sredstev kupnin iz naslova privatizacije</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0,00</w:t>
      </w:r>
    </w:p>
    <w:p w:rsidR="007A095F" w:rsidRPr="007A095F" w:rsidRDefault="007A095F" w:rsidP="007A095F">
      <w:pPr>
        <w:tabs>
          <w:tab w:val="left" w:pos="-1080"/>
          <w:tab w:val="left" w:pos="-720"/>
          <w:tab w:val="left" w:pos="0"/>
        </w:tabs>
        <w:spacing w:after="0" w:line="240" w:lineRule="auto"/>
        <w:ind w:left="1418" w:hanging="1418"/>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t xml:space="preserve">443 Povečanje namenskega premoženja v javnih skladih in drugih osebah </w:t>
      </w:r>
      <w:r w:rsidRPr="007A095F">
        <w:rPr>
          <w:rFonts w:ascii="Times New Roman" w:eastAsia="Times New Roman" w:hAnsi="Times New Roman" w:cs="Times New Roman"/>
          <w:color w:val="000000"/>
          <w:sz w:val="20"/>
          <w:szCs w:val="20"/>
        </w:rPr>
        <w:tab/>
      </w:r>
    </w:p>
    <w:p w:rsidR="007A095F" w:rsidRPr="007A095F" w:rsidRDefault="007A095F" w:rsidP="007A095F">
      <w:pPr>
        <w:tabs>
          <w:tab w:val="left" w:pos="-1080"/>
          <w:tab w:val="left" w:pos="-720"/>
          <w:tab w:val="left" w:pos="0"/>
        </w:tabs>
        <w:spacing w:after="0" w:line="240" w:lineRule="auto"/>
        <w:ind w:left="1418" w:hanging="1418"/>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0"/>
          <w:szCs w:val="20"/>
        </w:rPr>
        <w:tab/>
        <w:t>javnega prava, ki   imajo premoženje v svoji lasti</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0,00</w:t>
      </w:r>
    </w:p>
    <w:p w:rsidR="007A095F" w:rsidRPr="007A095F" w:rsidRDefault="007A095F" w:rsidP="007A095F">
      <w:pPr>
        <w:tabs>
          <w:tab w:val="left" w:pos="-1080"/>
          <w:tab w:val="left" w:pos="-720"/>
          <w:tab w:val="left" w:pos="0"/>
          <w:tab w:val="left" w:pos="810"/>
        </w:tabs>
        <w:spacing w:after="0" w:line="240" w:lineRule="auto"/>
        <w:ind w:left="1080"/>
        <w:jc w:val="both"/>
        <w:rPr>
          <w:rFonts w:ascii="Times New Roman" w:eastAsia="Times New Roman" w:hAnsi="Times New Roman" w:cs="Times New Roman"/>
          <w:color w:val="000000"/>
          <w:sz w:val="16"/>
          <w:szCs w:val="20"/>
        </w:rPr>
      </w:pPr>
      <w:r w:rsidRPr="007A095F">
        <w:rPr>
          <w:rFonts w:ascii="Times New Roman" w:eastAsia="Times New Roman" w:hAnsi="Times New Roman" w:cs="Times New Roman"/>
          <w:color w:val="000000"/>
          <w:sz w:val="24"/>
          <w:szCs w:val="20"/>
        </w:rPr>
        <w:t xml:space="preserve">VI. PREJETA MINUS DANA POSOJILA </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t>IN SPREMEMBE KAPITALSKIH DELEŽEV</w:t>
      </w:r>
      <w:r w:rsidR="00667EA3">
        <w:rPr>
          <w:rFonts w:ascii="Times New Roman" w:eastAsia="Times New Roman" w:hAnsi="Times New Roman" w:cs="Times New Roman"/>
          <w:color w:val="000000"/>
          <w:sz w:val="16"/>
          <w:szCs w:val="20"/>
        </w:rPr>
        <w:t>(IV.-V</w:t>
      </w:r>
      <w:r w:rsidR="00E423C8">
        <w:rPr>
          <w:rFonts w:ascii="Times New Roman" w:eastAsia="Times New Roman" w:hAnsi="Times New Roman" w:cs="Times New Roman"/>
          <w:color w:val="000000"/>
          <w:sz w:val="16"/>
          <w:szCs w:val="20"/>
        </w:rPr>
        <w:t>.)</w:t>
      </w:r>
      <w:r w:rsidR="00E423C8">
        <w:rPr>
          <w:rFonts w:ascii="Times New Roman" w:eastAsia="Times New Roman" w:hAnsi="Times New Roman" w:cs="Times New Roman"/>
          <w:color w:val="000000"/>
          <w:sz w:val="16"/>
          <w:szCs w:val="20"/>
        </w:rPr>
        <w:tab/>
        <w:t xml:space="preserve">                               </w:t>
      </w:r>
      <w:r w:rsidR="00667EA3">
        <w:rPr>
          <w:rFonts w:ascii="Times New Roman" w:eastAsia="Times New Roman" w:hAnsi="Times New Roman" w:cs="Times New Roman"/>
          <w:color w:val="000000"/>
          <w:sz w:val="16"/>
          <w:szCs w:val="20"/>
        </w:rPr>
        <w:t>0,00</w:t>
      </w:r>
    </w:p>
    <w:p w:rsidR="007A095F" w:rsidRPr="007A095F" w:rsidRDefault="007A095F" w:rsidP="007A095F">
      <w:pPr>
        <w:tabs>
          <w:tab w:val="left" w:pos="-1080"/>
          <w:tab w:val="left" w:pos="-720"/>
          <w:tab w:val="left" w:pos="0"/>
          <w:tab w:val="left" w:pos="810"/>
        </w:tabs>
        <w:spacing w:after="0" w:line="240" w:lineRule="auto"/>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4"/>
          <w:szCs w:val="20"/>
        </w:rPr>
        <w:t>___________________________________________________________________________</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4"/>
          <w:szCs w:val="20"/>
        </w:rPr>
        <w:tab/>
      </w:r>
      <w:proofErr w:type="spellStart"/>
      <w:r w:rsidRPr="007A095F">
        <w:rPr>
          <w:rFonts w:ascii="Times New Roman" w:eastAsia="Times New Roman" w:hAnsi="Times New Roman" w:cs="Times New Roman"/>
          <w:color w:val="000000"/>
          <w:sz w:val="24"/>
          <w:szCs w:val="20"/>
        </w:rPr>
        <w:t>C.RAČUN</w:t>
      </w:r>
      <w:proofErr w:type="spellEnd"/>
      <w:r w:rsidRPr="007A095F">
        <w:rPr>
          <w:rFonts w:ascii="Times New Roman" w:eastAsia="Times New Roman" w:hAnsi="Times New Roman" w:cs="Times New Roman"/>
          <w:color w:val="000000"/>
          <w:sz w:val="24"/>
          <w:szCs w:val="20"/>
        </w:rPr>
        <w:t xml:space="preserve"> FINANCIRANJA</w:t>
      </w:r>
    </w:p>
    <w:p w:rsidR="007A095F" w:rsidRPr="007A095F" w:rsidRDefault="007A095F" w:rsidP="007A095F">
      <w:pPr>
        <w:tabs>
          <w:tab w:val="left" w:pos="-1080"/>
          <w:tab w:val="left" w:pos="-720"/>
          <w:tab w:val="left" w:pos="0"/>
          <w:tab w:val="left" w:pos="81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16"/>
          <w:szCs w:val="20"/>
        </w:rPr>
        <w:t xml:space="preserve">________________________________________________________________________________________________________________ </w:t>
      </w:r>
      <w:r w:rsidRPr="007A095F">
        <w:rPr>
          <w:rFonts w:ascii="Times New Roman" w:eastAsia="Times New Roman" w:hAnsi="Times New Roman" w:cs="Times New Roman"/>
          <w:color w:val="000000"/>
          <w:sz w:val="16"/>
          <w:szCs w:val="20"/>
        </w:rPr>
        <w:tab/>
        <w:t>Skupina/Podskupina kontov/Konto/</w:t>
      </w:r>
      <w:proofErr w:type="spellStart"/>
      <w:r w:rsidRPr="007A095F">
        <w:rPr>
          <w:rFonts w:ascii="Times New Roman" w:eastAsia="Times New Roman" w:hAnsi="Times New Roman" w:cs="Times New Roman"/>
          <w:color w:val="000000"/>
          <w:sz w:val="16"/>
          <w:szCs w:val="20"/>
        </w:rPr>
        <w:t>Podkonto</w:t>
      </w:r>
      <w:proofErr w:type="spellEnd"/>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t xml:space="preserve">      </w:t>
      </w:r>
      <w:r w:rsidR="000A30ED">
        <w:rPr>
          <w:rFonts w:ascii="Times New Roman" w:eastAsia="Times New Roman" w:hAnsi="Times New Roman" w:cs="Times New Roman"/>
          <w:color w:val="000000"/>
          <w:sz w:val="20"/>
          <w:szCs w:val="20"/>
        </w:rPr>
        <w:t>Proračun leta 2015</w:t>
      </w:r>
    </w:p>
    <w:p w:rsidR="007A095F" w:rsidRPr="007A095F" w:rsidRDefault="007A095F" w:rsidP="007A095F">
      <w:pPr>
        <w:tabs>
          <w:tab w:val="left" w:pos="-1080"/>
          <w:tab w:val="left" w:pos="-720"/>
          <w:tab w:val="left" w:pos="0"/>
          <w:tab w:val="left" w:pos="810"/>
        </w:tabs>
        <w:spacing w:after="0" w:line="240" w:lineRule="auto"/>
        <w:jc w:val="both"/>
        <w:rPr>
          <w:rFonts w:ascii="Times New Roman" w:eastAsia="Times New Roman" w:hAnsi="Times New Roman" w:cs="Times New Roman"/>
          <w:color w:val="000000"/>
          <w:sz w:val="16"/>
          <w:szCs w:val="20"/>
        </w:rPr>
      </w:pPr>
      <w:r w:rsidRPr="007A095F">
        <w:rPr>
          <w:rFonts w:ascii="Times New Roman" w:eastAsia="Times New Roman" w:hAnsi="Times New Roman" w:cs="Times New Roman"/>
          <w:color w:val="000000"/>
          <w:sz w:val="16"/>
          <w:szCs w:val="20"/>
        </w:rPr>
        <w:t>________________________________________________________________________________________________________________</w:t>
      </w:r>
    </w:p>
    <w:p w:rsidR="007A095F" w:rsidRPr="007A095F" w:rsidRDefault="007A095F" w:rsidP="007A095F">
      <w:pPr>
        <w:tabs>
          <w:tab w:val="left" w:pos="-1080"/>
          <w:tab w:val="left" w:pos="-720"/>
          <w:tab w:val="left" w:pos="0"/>
          <w:tab w:val="left" w:pos="810"/>
        </w:tabs>
        <w:spacing w:after="0" w:line="240" w:lineRule="auto"/>
        <w:ind w:left="108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4"/>
          <w:szCs w:val="20"/>
        </w:rPr>
        <w:t xml:space="preserve">VII. ZADOLŽEVANJE </w:t>
      </w:r>
      <w:r w:rsidRPr="007A095F">
        <w:rPr>
          <w:rFonts w:ascii="Times New Roman" w:eastAsia="Times New Roman" w:hAnsi="Times New Roman" w:cs="Times New Roman"/>
          <w:color w:val="000000"/>
          <w:sz w:val="16"/>
          <w:szCs w:val="20"/>
        </w:rPr>
        <w:t>(500)</w:t>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t xml:space="preserve">               </w:t>
      </w:r>
      <w:r w:rsidR="00F35E9A">
        <w:rPr>
          <w:rFonts w:ascii="Times New Roman" w:eastAsia="Times New Roman" w:hAnsi="Times New Roman" w:cs="Times New Roman"/>
          <w:color w:val="000000"/>
          <w:sz w:val="16"/>
          <w:szCs w:val="20"/>
        </w:rPr>
        <w:tab/>
      </w:r>
      <w:r w:rsidR="00F35E9A">
        <w:rPr>
          <w:rFonts w:ascii="Times New Roman" w:eastAsia="Times New Roman" w:hAnsi="Times New Roman" w:cs="Times New Roman"/>
          <w:color w:val="000000"/>
          <w:sz w:val="16"/>
          <w:szCs w:val="20"/>
        </w:rPr>
        <w:tab/>
      </w:r>
      <w:r w:rsidR="00F35E9A">
        <w:rPr>
          <w:rFonts w:ascii="Times New Roman" w:eastAsia="Times New Roman" w:hAnsi="Times New Roman" w:cs="Times New Roman"/>
          <w:color w:val="000000"/>
          <w:sz w:val="20"/>
          <w:szCs w:val="20"/>
        </w:rPr>
        <w:t>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4"/>
          <w:szCs w:val="20"/>
        </w:rPr>
        <w:tab/>
        <w:t>50 ZADOLŽEVANJE</w:t>
      </w:r>
      <w:r w:rsidR="00F35E9A">
        <w:rPr>
          <w:rFonts w:ascii="Times New Roman" w:eastAsia="Times New Roman" w:hAnsi="Times New Roman" w:cs="Times New Roman"/>
          <w:color w:val="000000"/>
          <w:sz w:val="24"/>
          <w:szCs w:val="20"/>
        </w:rPr>
        <w:tab/>
      </w:r>
      <w:r w:rsidR="00F35E9A">
        <w:rPr>
          <w:rFonts w:ascii="Times New Roman" w:eastAsia="Times New Roman" w:hAnsi="Times New Roman" w:cs="Times New Roman"/>
          <w:color w:val="000000"/>
          <w:sz w:val="24"/>
          <w:szCs w:val="20"/>
        </w:rPr>
        <w:tab/>
      </w:r>
      <w:r w:rsidR="00F35E9A">
        <w:rPr>
          <w:rFonts w:ascii="Times New Roman" w:eastAsia="Times New Roman" w:hAnsi="Times New Roman" w:cs="Times New Roman"/>
          <w:color w:val="000000"/>
          <w:sz w:val="24"/>
          <w:szCs w:val="20"/>
        </w:rPr>
        <w:tab/>
      </w:r>
      <w:r w:rsidR="00F35E9A">
        <w:rPr>
          <w:rFonts w:ascii="Times New Roman" w:eastAsia="Times New Roman" w:hAnsi="Times New Roman" w:cs="Times New Roman"/>
          <w:color w:val="000000"/>
          <w:sz w:val="24"/>
          <w:szCs w:val="20"/>
        </w:rPr>
        <w:tab/>
      </w:r>
      <w:r w:rsidR="00F35E9A">
        <w:rPr>
          <w:rFonts w:ascii="Times New Roman" w:eastAsia="Times New Roman" w:hAnsi="Times New Roman" w:cs="Times New Roman"/>
          <w:color w:val="000000"/>
          <w:sz w:val="24"/>
          <w:szCs w:val="20"/>
        </w:rPr>
        <w:tab/>
      </w:r>
      <w:r w:rsidR="00F35E9A">
        <w:rPr>
          <w:rFonts w:ascii="Times New Roman" w:eastAsia="Times New Roman" w:hAnsi="Times New Roman" w:cs="Times New Roman"/>
          <w:color w:val="000000"/>
          <w:sz w:val="24"/>
          <w:szCs w:val="20"/>
        </w:rPr>
        <w:tab/>
        <w:t xml:space="preserve">                       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500 Domače zadolževanje</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00F35E9A">
        <w:rPr>
          <w:rFonts w:ascii="Times New Roman" w:eastAsia="Times New Roman" w:hAnsi="Times New Roman" w:cs="Times New Roman"/>
          <w:color w:val="000000"/>
          <w:sz w:val="20"/>
          <w:szCs w:val="20"/>
        </w:rPr>
        <w:tab/>
        <w:t>0,00</w:t>
      </w:r>
    </w:p>
    <w:p w:rsidR="007A095F" w:rsidRPr="007A095F" w:rsidRDefault="007A095F" w:rsidP="007A095F">
      <w:pPr>
        <w:tabs>
          <w:tab w:val="left" w:pos="-1080"/>
          <w:tab w:val="left" w:pos="-720"/>
          <w:tab w:val="left" w:pos="0"/>
          <w:tab w:val="left" w:pos="810"/>
        </w:tabs>
        <w:spacing w:after="0" w:line="240" w:lineRule="auto"/>
        <w:ind w:left="108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4"/>
          <w:szCs w:val="20"/>
        </w:rPr>
        <w:t xml:space="preserve">VIII. ODPLAČILA DOLGA </w:t>
      </w:r>
      <w:r w:rsidRPr="007A095F">
        <w:rPr>
          <w:rFonts w:ascii="Times New Roman" w:eastAsia="Times New Roman" w:hAnsi="Times New Roman" w:cs="Times New Roman"/>
          <w:color w:val="000000"/>
          <w:sz w:val="16"/>
          <w:szCs w:val="20"/>
        </w:rPr>
        <w:t>(550)</w:t>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00F35E9A">
        <w:rPr>
          <w:rFonts w:ascii="Times New Roman" w:eastAsia="Times New Roman" w:hAnsi="Times New Roman" w:cs="Times New Roman"/>
          <w:color w:val="000000"/>
          <w:sz w:val="20"/>
          <w:szCs w:val="20"/>
        </w:rPr>
        <w:t xml:space="preserve">   </w:t>
      </w:r>
      <w:r w:rsidR="00667EA3">
        <w:rPr>
          <w:rFonts w:ascii="Times New Roman" w:eastAsia="Times New Roman" w:hAnsi="Times New Roman" w:cs="Times New Roman"/>
          <w:color w:val="000000"/>
          <w:sz w:val="20"/>
          <w:szCs w:val="20"/>
        </w:rPr>
        <w:t xml:space="preserve">           0</w:t>
      </w:r>
      <w:r w:rsidR="00F35E9A">
        <w:rPr>
          <w:rFonts w:ascii="Times New Roman" w:eastAsia="Times New Roman" w:hAnsi="Times New Roman" w:cs="Times New Roman"/>
          <w:color w:val="000000"/>
          <w:sz w:val="20"/>
          <w:szCs w:val="20"/>
        </w:rPr>
        <w:t>,00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4"/>
          <w:szCs w:val="20"/>
        </w:rPr>
        <w:tab/>
        <w:t>55 ODPLAČILA DOLGA</w:t>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t xml:space="preserve">         </w:t>
      </w:r>
      <w:r w:rsidRPr="007A095F">
        <w:rPr>
          <w:rFonts w:ascii="Times New Roman" w:eastAsia="Times New Roman" w:hAnsi="Times New Roman" w:cs="Times New Roman"/>
          <w:color w:val="000000"/>
          <w:sz w:val="20"/>
          <w:szCs w:val="20"/>
        </w:rPr>
        <w:t xml:space="preserve">   </w:t>
      </w:r>
      <w:r w:rsidR="00667EA3">
        <w:rPr>
          <w:rFonts w:ascii="Times New Roman" w:eastAsia="Times New Roman" w:hAnsi="Times New Roman" w:cs="Times New Roman"/>
          <w:color w:val="000000"/>
          <w:sz w:val="20"/>
          <w:szCs w:val="20"/>
        </w:rPr>
        <w:t xml:space="preserve">              </w:t>
      </w:r>
      <w:r w:rsidR="00F35E9A">
        <w:rPr>
          <w:rFonts w:ascii="Times New Roman" w:eastAsia="Times New Roman" w:hAnsi="Times New Roman" w:cs="Times New Roman"/>
          <w:color w:val="000000"/>
          <w:sz w:val="20"/>
          <w:szCs w:val="20"/>
        </w:rPr>
        <w:t>0,00</w:t>
      </w:r>
    </w:p>
    <w:p w:rsidR="007A095F" w:rsidRPr="007A095F" w:rsidRDefault="007A095F" w:rsidP="007A095F">
      <w:pPr>
        <w:tabs>
          <w:tab w:val="left" w:pos="-1080"/>
          <w:tab w:val="left" w:pos="-720"/>
          <w:tab w:val="left" w:pos="0"/>
          <w:tab w:val="left" w:pos="810"/>
        </w:tabs>
        <w:spacing w:after="0" w:line="240" w:lineRule="auto"/>
        <w:ind w:left="36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550 Odplačila domačega dolga</w:t>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00667EA3">
        <w:rPr>
          <w:rFonts w:ascii="Times New Roman" w:eastAsia="Times New Roman" w:hAnsi="Times New Roman" w:cs="Times New Roman"/>
          <w:color w:val="000000"/>
          <w:sz w:val="20"/>
          <w:szCs w:val="20"/>
        </w:rPr>
        <w:t xml:space="preserve">              </w:t>
      </w:r>
      <w:r w:rsidR="00F35E9A">
        <w:rPr>
          <w:rFonts w:ascii="Times New Roman" w:eastAsia="Times New Roman" w:hAnsi="Times New Roman" w:cs="Times New Roman"/>
          <w:color w:val="000000"/>
          <w:sz w:val="20"/>
          <w:szCs w:val="20"/>
        </w:rPr>
        <w:t>0,00</w:t>
      </w:r>
    </w:p>
    <w:p w:rsidR="007A095F" w:rsidRPr="007A095F" w:rsidRDefault="007A095F" w:rsidP="007A095F">
      <w:pPr>
        <w:tabs>
          <w:tab w:val="left" w:pos="-1080"/>
          <w:tab w:val="left" w:pos="-720"/>
          <w:tab w:val="left" w:pos="0"/>
          <w:tab w:val="left" w:pos="810"/>
        </w:tabs>
        <w:spacing w:after="0" w:line="240" w:lineRule="auto"/>
        <w:ind w:left="1080"/>
        <w:jc w:val="both"/>
        <w:rPr>
          <w:rFonts w:ascii="Times New Roman" w:eastAsia="Times New Roman" w:hAnsi="Times New Roman" w:cs="Times New Roman"/>
          <w:color w:val="000000"/>
          <w:sz w:val="16"/>
          <w:szCs w:val="16"/>
        </w:rPr>
      </w:pPr>
    </w:p>
    <w:p w:rsidR="007A095F" w:rsidRPr="007A095F" w:rsidRDefault="007A095F" w:rsidP="007A095F">
      <w:pPr>
        <w:tabs>
          <w:tab w:val="left" w:pos="-1080"/>
          <w:tab w:val="left" w:pos="-720"/>
          <w:tab w:val="left" w:pos="0"/>
          <w:tab w:val="left" w:pos="810"/>
        </w:tabs>
        <w:spacing w:after="0" w:line="240" w:lineRule="auto"/>
        <w:ind w:left="1080"/>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4"/>
          <w:szCs w:val="20"/>
        </w:rPr>
        <w:t xml:space="preserve">IX. POVEČANJE(ZMANJŠANJE)SREDSTEV NA RAČUNIH </w:t>
      </w:r>
      <w:r w:rsidR="001D66E6">
        <w:rPr>
          <w:rFonts w:ascii="Times New Roman" w:eastAsia="Times New Roman" w:hAnsi="Times New Roman" w:cs="Times New Roman"/>
          <w:color w:val="000000"/>
        </w:rPr>
        <w:t xml:space="preserve">  </w:t>
      </w:r>
      <w:r w:rsidR="00F36C0A">
        <w:rPr>
          <w:rFonts w:ascii="Times New Roman" w:eastAsia="Times New Roman" w:hAnsi="Times New Roman" w:cs="Times New Roman"/>
          <w:color w:val="000000"/>
        </w:rPr>
        <w:t xml:space="preserve">   </w:t>
      </w:r>
      <w:r w:rsidR="00E423C8">
        <w:rPr>
          <w:rFonts w:ascii="Times New Roman" w:eastAsia="Times New Roman" w:hAnsi="Times New Roman" w:cs="Times New Roman"/>
          <w:color w:val="000000"/>
        </w:rPr>
        <w:t xml:space="preserve">              0,00</w:t>
      </w:r>
    </w:p>
    <w:p w:rsidR="007A095F" w:rsidRPr="007A095F" w:rsidRDefault="007A095F" w:rsidP="007A095F">
      <w:pPr>
        <w:tabs>
          <w:tab w:val="left" w:pos="-1080"/>
          <w:tab w:val="left" w:pos="-720"/>
          <w:tab w:val="left" w:pos="0"/>
          <w:tab w:val="left" w:pos="810"/>
        </w:tabs>
        <w:spacing w:after="0" w:line="240" w:lineRule="auto"/>
        <w:jc w:val="both"/>
        <w:rPr>
          <w:rFonts w:ascii="Times New Roman" w:eastAsia="Times New Roman" w:hAnsi="Times New Roman" w:cs="Times New Roman"/>
          <w:color w:val="000000"/>
          <w:sz w:val="16"/>
          <w:szCs w:val="20"/>
        </w:rPr>
      </w:pP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16"/>
          <w:szCs w:val="20"/>
        </w:rPr>
        <w:t>(I.+IV.+VII.-II.-V.-VIII.)</w:t>
      </w:r>
      <w:r w:rsidRPr="007A095F">
        <w:rPr>
          <w:rFonts w:ascii="Times New Roman" w:eastAsia="Times New Roman" w:hAnsi="Times New Roman" w:cs="Times New Roman"/>
          <w:color w:val="000000"/>
          <w:sz w:val="16"/>
          <w:szCs w:val="20"/>
        </w:rPr>
        <w:tab/>
        <w:t>- ali 0 ali +</w:t>
      </w:r>
    </w:p>
    <w:p w:rsidR="007A095F" w:rsidRPr="007A095F" w:rsidRDefault="007A095F" w:rsidP="007A095F">
      <w:pPr>
        <w:tabs>
          <w:tab w:val="left" w:pos="-1080"/>
          <w:tab w:val="left" w:pos="-720"/>
          <w:tab w:val="left" w:pos="0"/>
          <w:tab w:val="left" w:pos="810"/>
        </w:tabs>
        <w:spacing w:after="0" w:line="240" w:lineRule="auto"/>
        <w:jc w:val="both"/>
        <w:rPr>
          <w:rFonts w:ascii="Times New Roman" w:eastAsia="Times New Roman" w:hAnsi="Times New Roman" w:cs="Times New Roman"/>
          <w:color w:val="000000"/>
          <w:sz w:val="16"/>
          <w:szCs w:val="20"/>
        </w:rPr>
      </w:pPr>
    </w:p>
    <w:p w:rsidR="007A095F" w:rsidRPr="007A095F" w:rsidRDefault="007A095F" w:rsidP="007A095F">
      <w:pPr>
        <w:tabs>
          <w:tab w:val="left" w:pos="-1080"/>
          <w:tab w:val="left" w:pos="-720"/>
          <w:tab w:val="left" w:pos="0"/>
          <w:tab w:val="left" w:pos="810"/>
        </w:tabs>
        <w:spacing w:after="0" w:line="240" w:lineRule="auto"/>
        <w:ind w:left="1080"/>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4"/>
          <w:szCs w:val="20"/>
        </w:rPr>
        <w:t>X. NETO ZADOLŽEVANJE</w:t>
      </w:r>
      <w:r w:rsidRPr="007A095F">
        <w:rPr>
          <w:rFonts w:ascii="Times New Roman" w:eastAsia="Times New Roman" w:hAnsi="Times New Roman" w:cs="Times New Roman"/>
          <w:color w:val="000000"/>
          <w:sz w:val="16"/>
          <w:szCs w:val="20"/>
        </w:rPr>
        <w:t xml:space="preserve">  (VII.-VIII.)</w:t>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00F35E9A">
        <w:rPr>
          <w:rFonts w:ascii="Times New Roman" w:eastAsia="Times New Roman" w:hAnsi="Times New Roman" w:cs="Times New Roman"/>
          <w:color w:val="000000"/>
          <w:sz w:val="16"/>
          <w:szCs w:val="20"/>
        </w:rPr>
        <w:t xml:space="preserve">       </w:t>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00F35E9A">
        <w:rPr>
          <w:rFonts w:ascii="Times New Roman" w:eastAsia="Times New Roman" w:hAnsi="Times New Roman" w:cs="Times New Roman"/>
          <w:color w:val="000000"/>
        </w:rPr>
        <w:t xml:space="preserve">          </w:t>
      </w:r>
      <w:r w:rsidR="00F36C0A">
        <w:rPr>
          <w:rFonts w:ascii="Times New Roman" w:eastAsia="Times New Roman" w:hAnsi="Times New Roman" w:cs="Times New Roman"/>
          <w:color w:val="000000"/>
        </w:rPr>
        <w:t xml:space="preserve">   </w:t>
      </w:r>
      <w:r w:rsidR="00667EA3">
        <w:rPr>
          <w:rFonts w:ascii="Times New Roman" w:eastAsia="Times New Roman" w:hAnsi="Times New Roman" w:cs="Times New Roman"/>
          <w:color w:val="000000"/>
        </w:rPr>
        <w:t xml:space="preserve">            </w:t>
      </w:r>
      <w:r w:rsidR="00F35E9A">
        <w:rPr>
          <w:rFonts w:ascii="Times New Roman" w:eastAsia="Times New Roman" w:hAnsi="Times New Roman" w:cs="Times New Roman"/>
          <w:color w:val="000000"/>
        </w:rPr>
        <w:t>0,00</w:t>
      </w:r>
      <w:r w:rsidRPr="007A095F">
        <w:rPr>
          <w:rFonts w:ascii="Times New Roman" w:eastAsia="Times New Roman" w:hAnsi="Times New Roman" w:cs="Times New Roman"/>
          <w:color w:val="00000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r>
    </w:p>
    <w:p w:rsidR="007A095F" w:rsidRPr="007A095F" w:rsidRDefault="007A095F" w:rsidP="007A095F">
      <w:pPr>
        <w:keepNext/>
        <w:widowControl w:val="0"/>
        <w:tabs>
          <w:tab w:val="left" w:pos="-1080"/>
          <w:tab w:val="left" w:pos="-720"/>
          <w:tab w:val="left" w:pos="0"/>
          <w:tab w:val="left" w:pos="810"/>
          <w:tab w:val="left" w:pos="1080"/>
        </w:tabs>
        <w:spacing w:after="0" w:line="240" w:lineRule="auto"/>
        <w:jc w:val="both"/>
        <w:outlineLvl w:val="0"/>
        <w:rPr>
          <w:rFonts w:ascii="Times New Roman" w:eastAsia="Times New Roman" w:hAnsi="Times New Roman" w:cs="Times New Roman"/>
          <w:snapToGrid w:val="0"/>
          <w:color w:val="000000"/>
          <w:sz w:val="2"/>
          <w:szCs w:val="2"/>
        </w:rPr>
      </w:pPr>
    </w:p>
    <w:p w:rsidR="007A095F" w:rsidRPr="007A095F" w:rsidRDefault="007A095F" w:rsidP="007A095F">
      <w:pPr>
        <w:tabs>
          <w:tab w:val="left" w:pos="-1080"/>
          <w:tab w:val="left" w:pos="-720"/>
          <w:tab w:val="left" w:pos="0"/>
          <w:tab w:val="left" w:pos="810"/>
        </w:tabs>
        <w:spacing w:after="0" w:line="240" w:lineRule="auto"/>
        <w:ind w:left="1080"/>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24"/>
          <w:szCs w:val="20"/>
        </w:rPr>
        <w:t xml:space="preserve">XI. NETO FINANCIRANJE </w:t>
      </w:r>
      <w:r w:rsidRPr="007A095F">
        <w:rPr>
          <w:rFonts w:ascii="Times New Roman" w:eastAsia="Times New Roman" w:hAnsi="Times New Roman" w:cs="Times New Roman"/>
          <w:color w:val="000000"/>
          <w:sz w:val="16"/>
          <w:szCs w:val="16"/>
        </w:rPr>
        <w:t>(VI.+VII.-VIII.-IX.)</w:t>
      </w:r>
      <w:r w:rsidRPr="007A095F">
        <w:rPr>
          <w:rFonts w:ascii="Times New Roman" w:eastAsia="Times New Roman" w:hAnsi="Times New Roman" w:cs="Times New Roman"/>
          <w:color w:val="000000"/>
          <w:sz w:val="24"/>
          <w:szCs w:val="20"/>
        </w:rPr>
        <w:tab/>
      </w:r>
      <w:r w:rsidRPr="007A095F">
        <w:rPr>
          <w:rFonts w:ascii="Times New Roman" w:eastAsia="Times New Roman" w:hAnsi="Times New Roman" w:cs="Times New Roman"/>
          <w:color w:val="000000"/>
          <w:sz w:val="24"/>
          <w:szCs w:val="20"/>
        </w:rPr>
        <w:tab/>
        <w:t xml:space="preserve">            </w:t>
      </w:r>
      <w:r w:rsidRPr="007A095F">
        <w:rPr>
          <w:rFonts w:ascii="Times New Roman" w:eastAsia="Times New Roman" w:hAnsi="Times New Roman" w:cs="Times New Roman"/>
          <w:color w:val="000000"/>
        </w:rPr>
        <w:t xml:space="preserve">        </w:t>
      </w:r>
      <w:r w:rsidR="001D66E6">
        <w:rPr>
          <w:rFonts w:ascii="Times New Roman" w:eastAsia="Times New Roman" w:hAnsi="Times New Roman" w:cs="Times New Roman"/>
          <w:color w:val="000000"/>
        </w:rPr>
        <w:t xml:space="preserve">  </w:t>
      </w:r>
      <w:r w:rsidR="00F36C0A">
        <w:rPr>
          <w:rFonts w:ascii="Times New Roman" w:eastAsia="Times New Roman" w:hAnsi="Times New Roman" w:cs="Times New Roman"/>
          <w:color w:val="000000"/>
        </w:rPr>
        <w:t xml:space="preserve">   </w:t>
      </w:r>
      <w:r w:rsidR="00E423C8">
        <w:rPr>
          <w:rFonts w:ascii="Times New Roman" w:eastAsia="Times New Roman" w:hAnsi="Times New Roman" w:cs="Times New Roman"/>
          <w:color w:val="000000"/>
        </w:rPr>
        <w:t xml:space="preserve">            0,00</w:t>
      </w:r>
    </w:p>
    <w:p w:rsidR="007A095F" w:rsidRPr="007A095F" w:rsidRDefault="007A095F" w:rsidP="007A095F">
      <w:pPr>
        <w:tabs>
          <w:tab w:val="left" w:pos="-1080"/>
          <w:tab w:val="left" w:pos="-720"/>
          <w:tab w:val="left" w:pos="0"/>
          <w:tab w:val="left" w:pos="810"/>
        </w:tabs>
        <w:spacing w:after="0" w:line="240" w:lineRule="auto"/>
        <w:jc w:val="both"/>
        <w:rPr>
          <w:rFonts w:ascii="Times New Roman" w:eastAsia="Times New Roman" w:hAnsi="Times New Roman" w:cs="Times New Roman"/>
          <w:color w:val="000000"/>
          <w:sz w:val="24"/>
          <w:szCs w:val="20"/>
        </w:rPr>
      </w:pPr>
      <w:r w:rsidRPr="007A095F">
        <w:rPr>
          <w:rFonts w:ascii="Times New Roman" w:eastAsia="Times New Roman" w:hAnsi="Times New Roman" w:cs="Times New Roman"/>
          <w:color w:val="000000"/>
          <w:sz w:val="16"/>
          <w:szCs w:val="20"/>
        </w:rPr>
        <w:t>________________________________________________________________________________________________________________</w:t>
      </w:r>
    </w:p>
    <w:p w:rsidR="007A095F" w:rsidRPr="007A095F" w:rsidRDefault="007A095F" w:rsidP="007A095F">
      <w:pPr>
        <w:keepNext/>
        <w:widowControl w:val="0"/>
        <w:tabs>
          <w:tab w:val="left" w:pos="-1080"/>
          <w:tab w:val="left" w:pos="-720"/>
          <w:tab w:val="left" w:pos="0"/>
          <w:tab w:val="left" w:pos="810"/>
          <w:tab w:val="left" w:pos="1080"/>
        </w:tabs>
        <w:spacing w:after="0" w:line="240" w:lineRule="auto"/>
        <w:jc w:val="both"/>
        <w:outlineLvl w:val="0"/>
        <w:rPr>
          <w:rFonts w:ascii="Times New Roman" w:eastAsia="Times New Roman" w:hAnsi="Times New Roman" w:cs="Times New Roman"/>
          <w:snapToGrid w:val="0"/>
          <w:color w:val="000000"/>
          <w:sz w:val="24"/>
          <w:szCs w:val="20"/>
        </w:rPr>
      </w:pPr>
      <w:r w:rsidRPr="007A095F">
        <w:rPr>
          <w:rFonts w:ascii="Times New Roman" w:eastAsia="Times New Roman" w:hAnsi="Times New Roman" w:cs="Times New Roman"/>
          <w:snapToGrid w:val="0"/>
          <w:color w:val="000000"/>
          <w:sz w:val="24"/>
          <w:szCs w:val="20"/>
        </w:rPr>
        <w:tab/>
      </w:r>
      <w:r w:rsidRPr="007A095F">
        <w:rPr>
          <w:rFonts w:ascii="Times New Roman" w:eastAsia="Times New Roman" w:hAnsi="Times New Roman" w:cs="Times New Roman"/>
          <w:snapToGrid w:val="0"/>
          <w:color w:val="000000"/>
          <w:sz w:val="24"/>
          <w:szCs w:val="20"/>
        </w:rPr>
        <w:tab/>
        <w:t>STANJE SREDSTEV NA RAČUNIH DNE 31. 12.</w:t>
      </w:r>
      <w:r w:rsidR="001D66E6">
        <w:rPr>
          <w:rFonts w:ascii="Times New Roman" w:eastAsia="Times New Roman" w:hAnsi="Times New Roman" w:cs="Times New Roman"/>
          <w:snapToGrid w:val="0"/>
          <w:color w:val="000000"/>
          <w:sz w:val="24"/>
          <w:szCs w:val="20"/>
        </w:rPr>
        <w:tab/>
      </w:r>
      <w:r w:rsidR="001D66E6">
        <w:rPr>
          <w:rFonts w:ascii="Times New Roman" w:eastAsia="Times New Roman" w:hAnsi="Times New Roman" w:cs="Times New Roman"/>
          <w:snapToGrid w:val="0"/>
          <w:color w:val="000000"/>
          <w:sz w:val="24"/>
          <w:szCs w:val="20"/>
        </w:rPr>
        <w:tab/>
        <w:t xml:space="preserve">        </w:t>
      </w:r>
      <w:r w:rsidR="008F043C">
        <w:rPr>
          <w:rFonts w:ascii="Times New Roman" w:eastAsia="Times New Roman" w:hAnsi="Times New Roman" w:cs="Times New Roman"/>
          <w:snapToGrid w:val="0"/>
          <w:color w:val="000000"/>
          <w:sz w:val="24"/>
          <w:szCs w:val="20"/>
        </w:rPr>
        <w:t xml:space="preserve">    </w:t>
      </w:r>
      <w:r w:rsidR="00F36C0A">
        <w:rPr>
          <w:rFonts w:ascii="Times New Roman" w:eastAsia="Times New Roman" w:hAnsi="Times New Roman" w:cs="Times New Roman"/>
          <w:snapToGrid w:val="0"/>
          <w:color w:val="000000"/>
          <w:sz w:val="24"/>
          <w:szCs w:val="20"/>
        </w:rPr>
        <w:t xml:space="preserve">  </w:t>
      </w:r>
      <w:r w:rsidR="00245235">
        <w:rPr>
          <w:rFonts w:ascii="Times New Roman" w:eastAsia="Times New Roman" w:hAnsi="Times New Roman" w:cs="Times New Roman"/>
          <w:snapToGrid w:val="0"/>
          <w:color w:val="000000"/>
          <w:sz w:val="24"/>
          <w:szCs w:val="20"/>
        </w:rPr>
        <w:t xml:space="preserve">    3.234,47</w:t>
      </w:r>
    </w:p>
    <w:p w:rsidR="007A095F" w:rsidRPr="007A095F" w:rsidRDefault="007A095F" w:rsidP="007A095F">
      <w:pPr>
        <w:keepNext/>
        <w:widowControl w:val="0"/>
        <w:tabs>
          <w:tab w:val="left" w:pos="-1080"/>
          <w:tab w:val="left" w:pos="-720"/>
          <w:tab w:val="left" w:pos="0"/>
          <w:tab w:val="left" w:pos="810"/>
          <w:tab w:val="left" w:pos="1080"/>
        </w:tabs>
        <w:spacing w:after="0" w:line="240" w:lineRule="auto"/>
        <w:jc w:val="both"/>
        <w:outlineLvl w:val="0"/>
        <w:rPr>
          <w:rFonts w:ascii="Times New Roman" w:eastAsia="Times New Roman" w:hAnsi="Times New Roman" w:cs="Times New Roman"/>
          <w:snapToGrid w:val="0"/>
          <w:color w:val="000000"/>
          <w:sz w:val="24"/>
          <w:szCs w:val="20"/>
        </w:rPr>
      </w:pPr>
      <w:r w:rsidRPr="007A095F">
        <w:rPr>
          <w:rFonts w:ascii="Times New Roman" w:eastAsia="Times New Roman" w:hAnsi="Times New Roman" w:cs="Times New Roman"/>
          <w:snapToGrid w:val="0"/>
          <w:color w:val="000000"/>
          <w:sz w:val="24"/>
          <w:szCs w:val="20"/>
        </w:rPr>
        <w:tab/>
        <w:t xml:space="preserve">    PRETEKLEGA LETA   </w:t>
      </w:r>
    </w:p>
    <w:p w:rsidR="007A095F" w:rsidRPr="007A095F" w:rsidRDefault="007A095F" w:rsidP="007A095F">
      <w:pPr>
        <w:keepNext/>
        <w:widowControl w:val="0"/>
        <w:tabs>
          <w:tab w:val="left" w:pos="-1080"/>
          <w:tab w:val="left" w:pos="-720"/>
          <w:tab w:val="left" w:pos="0"/>
          <w:tab w:val="left" w:pos="810"/>
          <w:tab w:val="left" w:pos="1080"/>
        </w:tabs>
        <w:spacing w:after="0" w:line="240" w:lineRule="auto"/>
        <w:jc w:val="both"/>
        <w:outlineLvl w:val="0"/>
        <w:rPr>
          <w:rFonts w:ascii="Times New Roman" w:eastAsia="Times New Roman" w:hAnsi="Times New Roman" w:cs="Times New Roman"/>
          <w:color w:val="000000"/>
          <w:sz w:val="16"/>
          <w:szCs w:val="20"/>
        </w:rPr>
      </w:pPr>
      <w:r w:rsidRPr="007A095F">
        <w:rPr>
          <w:rFonts w:ascii="Times New Roman" w:eastAsia="Times New Roman" w:hAnsi="Times New Roman" w:cs="Times New Roman"/>
          <w:color w:val="000000"/>
          <w:sz w:val="16"/>
          <w:szCs w:val="20"/>
        </w:rPr>
        <w:tab/>
      </w:r>
      <w:r w:rsidRPr="007A095F">
        <w:rPr>
          <w:rFonts w:ascii="Times New Roman" w:eastAsia="Times New Roman" w:hAnsi="Times New Roman" w:cs="Times New Roman"/>
          <w:color w:val="000000"/>
          <w:sz w:val="16"/>
          <w:szCs w:val="20"/>
        </w:rPr>
        <w:tab/>
        <w:t>9009 Splošni sklad za drugo</w:t>
      </w:r>
      <w:r w:rsidRPr="007A095F">
        <w:rPr>
          <w:rFonts w:ascii="Times New Roman" w:eastAsia="Times New Roman" w:hAnsi="Times New Roman" w:cs="Times New Roman"/>
          <w:color w:val="000000"/>
          <w:sz w:val="16"/>
          <w:szCs w:val="20"/>
        </w:rPr>
        <w:tab/>
        <w:t>- ali 0 ali +</w:t>
      </w:r>
      <w:r w:rsidR="001D66E6">
        <w:rPr>
          <w:rFonts w:ascii="Times New Roman" w:eastAsia="Times New Roman" w:hAnsi="Times New Roman" w:cs="Times New Roman"/>
          <w:color w:val="000000"/>
          <w:sz w:val="16"/>
          <w:szCs w:val="20"/>
        </w:rPr>
        <w:tab/>
        <w:t xml:space="preserve">                                                                          </w:t>
      </w:r>
      <w:r w:rsidR="00245235">
        <w:rPr>
          <w:rFonts w:ascii="Times New Roman" w:eastAsia="Times New Roman" w:hAnsi="Times New Roman" w:cs="Times New Roman"/>
          <w:color w:val="000000"/>
          <w:sz w:val="16"/>
          <w:szCs w:val="20"/>
        </w:rPr>
        <w:t xml:space="preserve">                </w:t>
      </w:r>
      <w:r w:rsidR="00E36C09">
        <w:rPr>
          <w:rFonts w:ascii="Times New Roman" w:eastAsia="Times New Roman" w:hAnsi="Times New Roman" w:cs="Times New Roman"/>
          <w:color w:val="000000"/>
          <w:sz w:val="16"/>
          <w:szCs w:val="20"/>
        </w:rPr>
        <w:t xml:space="preserve">     </w:t>
      </w:r>
      <w:r w:rsidR="00245235">
        <w:rPr>
          <w:rFonts w:ascii="Times New Roman" w:eastAsia="Times New Roman" w:hAnsi="Times New Roman" w:cs="Times New Roman"/>
          <w:color w:val="000000"/>
          <w:sz w:val="16"/>
          <w:szCs w:val="20"/>
        </w:rPr>
        <w:t xml:space="preserve"> 3.234,47</w:t>
      </w:r>
    </w:p>
    <w:p w:rsidR="007A095F" w:rsidRPr="007A095F" w:rsidRDefault="007A095F" w:rsidP="007A095F">
      <w:pPr>
        <w:keepNext/>
        <w:widowControl w:val="0"/>
        <w:tabs>
          <w:tab w:val="left" w:pos="-1080"/>
          <w:tab w:val="left" w:pos="-720"/>
          <w:tab w:val="left" w:pos="0"/>
          <w:tab w:val="left" w:pos="810"/>
          <w:tab w:val="left" w:pos="1080"/>
        </w:tabs>
        <w:spacing w:after="0" w:line="240" w:lineRule="auto"/>
        <w:jc w:val="both"/>
        <w:outlineLvl w:val="0"/>
        <w:rPr>
          <w:rFonts w:ascii="Times New Roman" w:eastAsia="Times New Roman" w:hAnsi="Times New Roman" w:cs="Times New Roman"/>
          <w:color w:val="000000"/>
          <w:sz w:val="16"/>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4"/>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lastRenderedPageBreak/>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konte, določene s predpisanim kontnim načrtom.</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Posebni del proračuna do ravni proračunskih postavk - kontov in načrt razvojnih programov sta prilogi k temu odloku in se objavita na spletni strani Občine Gornji Petrovci.</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Načrt razvojnih programov sestavljajo projekti.</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082E6A" w:rsidRDefault="007A095F" w:rsidP="00BE2C5B">
      <w:pPr>
        <w:pStyle w:val="Odstavekseznama"/>
        <w:numPr>
          <w:ilvl w:val="0"/>
          <w:numId w:val="3"/>
        </w:num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082E6A">
        <w:rPr>
          <w:rFonts w:ascii="Times New Roman" w:eastAsia="Times New Roman" w:hAnsi="Times New Roman" w:cs="Times New Roman"/>
          <w:color w:val="000000"/>
          <w:sz w:val="20"/>
          <w:szCs w:val="20"/>
        </w:rPr>
        <w:t>POSTOPKI IZVRŠEVANJA PRORAČUNA</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082E6A"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7A095F" w:rsidRPr="007A095F">
        <w:rPr>
          <w:rFonts w:ascii="Times New Roman" w:eastAsia="Times New Roman" w:hAnsi="Times New Roman" w:cs="Times New Roman"/>
          <w:color w:val="000000"/>
          <w:sz w:val="20"/>
          <w:szCs w:val="20"/>
        </w:rPr>
        <w:t>. člen</w:t>
      </w:r>
    </w:p>
    <w:p w:rsidR="007A095F" w:rsidRPr="007A095F" w:rsidRDefault="007A095F"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(izvrševanje proračuna)</w:t>
      </w:r>
    </w:p>
    <w:p w:rsidR="007A095F" w:rsidRPr="007A095F" w:rsidRDefault="007A095F" w:rsidP="007A095F">
      <w:pPr>
        <w:tabs>
          <w:tab w:val="left" w:pos="-1080"/>
          <w:tab w:val="left" w:pos="-720"/>
          <w:tab w:val="left" w:pos="0"/>
          <w:tab w:val="left" w:pos="810"/>
          <w:tab w:val="left" w:pos="1080"/>
        </w:tabs>
        <w:spacing w:after="0" w:line="240" w:lineRule="auto"/>
        <w:ind w:left="360"/>
        <w:jc w:val="center"/>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Proračun se izvršuje na ravni proračunske postavke-konta.</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082E6A"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7A095F" w:rsidRPr="007A095F">
        <w:rPr>
          <w:rFonts w:ascii="Times New Roman" w:eastAsia="Times New Roman" w:hAnsi="Times New Roman" w:cs="Times New Roman"/>
          <w:color w:val="000000"/>
          <w:sz w:val="20"/>
          <w:szCs w:val="20"/>
        </w:rPr>
        <w:t>. člen</w:t>
      </w:r>
    </w:p>
    <w:p w:rsidR="007A095F" w:rsidRPr="007A095F" w:rsidRDefault="007A095F"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(namenski prihodki in odhodki proračuna)</w:t>
      </w:r>
    </w:p>
    <w:p w:rsidR="007A095F" w:rsidRPr="007A095F" w:rsidRDefault="007A095F"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Namenski prihodki proračuna so poleg prihodkov, določenih v prvem stavku prvega odstavka 43. člena ZJF, tudi naslednji prihodki:</w:t>
      </w:r>
    </w:p>
    <w:p w:rsidR="007A095F" w:rsidRPr="007A095F" w:rsidRDefault="00082E6A" w:rsidP="007A095F">
      <w:pPr>
        <w:numPr>
          <w:ilvl w:val="0"/>
          <w:numId w:val="2"/>
        </w:num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7A095F" w:rsidRPr="007A095F">
        <w:rPr>
          <w:rFonts w:ascii="Times New Roman" w:eastAsia="Times New Roman" w:hAnsi="Times New Roman" w:cs="Times New Roman"/>
          <w:color w:val="000000"/>
          <w:sz w:val="20"/>
          <w:szCs w:val="20"/>
        </w:rPr>
        <w:t>rihodki požarne takse, ki se uporabijo za namene, določene v Zakonu o varstvu pred požarom ;</w:t>
      </w:r>
    </w:p>
    <w:p w:rsidR="007A095F" w:rsidRPr="007A095F" w:rsidRDefault="00082E6A" w:rsidP="007A095F">
      <w:pPr>
        <w:numPr>
          <w:ilvl w:val="0"/>
          <w:numId w:val="2"/>
        </w:num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007A095F" w:rsidRPr="007A095F">
        <w:rPr>
          <w:rFonts w:ascii="Times New Roman" w:eastAsia="Times New Roman" w:hAnsi="Times New Roman" w:cs="Times New Roman"/>
          <w:color w:val="000000"/>
          <w:sz w:val="20"/>
          <w:szCs w:val="20"/>
        </w:rPr>
        <w:t>koljska dajatev za obremenjevanje vode, ki se uporabi za namene po Uredbi o okoljski dajatvi za onesnaževanje okolja zaradi odvajanja odpadnih voda v skladu z odločbo Ministrstva za okolje in prostor ;</w:t>
      </w:r>
    </w:p>
    <w:p w:rsidR="007A095F" w:rsidRPr="007A095F" w:rsidRDefault="00082E6A" w:rsidP="007A095F">
      <w:pPr>
        <w:numPr>
          <w:ilvl w:val="0"/>
          <w:numId w:val="2"/>
        </w:num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007A095F" w:rsidRPr="007A095F">
        <w:rPr>
          <w:rFonts w:ascii="Times New Roman" w:eastAsia="Times New Roman" w:hAnsi="Times New Roman" w:cs="Times New Roman"/>
          <w:color w:val="000000"/>
          <w:sz w:val="20"/>
          <w:szCs w:val="20"/>
        </w:rPr>
        <w:t>koljska dajatev za onesnaževanje okolja zaradi odlaganja odpadkov, ki se uporabi za namene po Uredbi o okoljski dajatvi za onesnaževanje okolja zaradi odlaganja odpadkov v skladu z odločbo Ministrstva za okolje in prostor ;</w:t>
      </w:r>
    </w:p>
    <w:p w:rsidR="007A095F" w:rsidRPr="007A095F" w:rsidRDefault="00082E6A" w:rsidP="007A095F">
      <w:pPr>
        <w:numPr>
          <w:ilvl w:val="0"/>
          <w:numId w:val="2"/>
        </w:num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7A095F" w:rsidRPr="007A095F">
        <w:rPr>
          <w:rFonts w:ascii="Times New Roman" w:eastAsia="Times New Roman" w:hAnsi="Times New Roman" w:cs="Times New Roman"/>
          <w:color w:val="000000"/>
          <w:sz w:val="20"/>
          <w:szCs w:val="20"/>
        </w:rPr>
        <w:t>rihodki iz naslova turistične takse, ki se uporabljajo za namene, določene v Zakonu o spodbujanju razvoja turizma ;</w:t>
      </w:r>
    </w:p>
    <w:p w:rsidR="007A095F" w:rsidRPr="007A095F" w:rsidRDefault="00082E6A" w:rsidP="007A095F">
      <w:pPr>
        <w:numPr>
          <w:ilvl w:val="0"/>
          <w:numId w:val="2"/>
        </w:num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7A095F" w:rsidRPr="007A095F">
        <w:rPr>
          <w:rFonts w:ascii="Times New Roman" w:eastAsia="Times New Roman" w:hAnsi="Times New Roman" w:cs="Times New Roman"/>
          <w:color w:val="000000"/>
          <w:sz w:val="20"/>
          <w:szCs w:val="20"/>
        </w:rPr>
        <w:t>rihodki iz naslova takse za vzdrževanje gozdnih cest ;</w:t>
      </w:r>
    </w:p>
    <w:p w:rsidR="007A095F" w:rsidRPr="007A095F" w:rsidRDefault="00082E6A" w:rsidP="007A095F">
      <w:pPr>
        <w:numPr>
          <w:ilvl w:val="0"/>
          <w:numId w:val="2"/>
        </w:num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7A095F" w:rsidRPr="007A095F">
        <w:rPr>
          <w:rFonts w:ascii="Times New Roman" w:eastAsia="Times New Roman" w:hAnsi="Times New Roman" w:cs="Times New Roman"/>
          <w:color w:val="000000"/>
          <w:sz w:val="20"/>
          <w:szCs w:val="20"/>
        </w:rPr>
        <w:t>rejemki iz državnega proračuna in drugih virov za določene namene ;</w:t>
      </w:r>
    </w:p>
    <w:p w:rsidR="007A095F" w:rsidRPr="007A095F" w:rsidRDefault="00082E6A" w:rsidP="007A095F">
      <w:pPr>
        <w:numPr>
          <w:ilvl w:val="0"/>
          <w:numId w:val="2"/>
        </w:num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7A095F" w:rsidRPr="007A095F">
        <w:rPr>
          <w:rFonts w:ascii="Times New Roman" w:eastAsia="Times New Roman" w:hAnsi="Times New Roman" w:cs="Times New Roman"/>
          <w:color w:val="000000"/>
          <w:sz w:val="20"/>
          <w:szCs w:val="20"/>
        </w:rPr>
        <w:t>rihodki od občanov, ki se namenijo za namene, za katere se zbirajo ;</w:t>
      </w:r>
    </w:p>
    <w:p w:rsidR="007A095F" w:rsidRPr="007A095F" w:rsidRDefault="00082E6A" w:rsidP="007A095F">
      <w:pPr>
        <w:numPr>
          <w:ilvl w:val="0"/>
          <w:numId w:val="2"/>
        </w:num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r w:rsidR="007A095F" w:rsidRPr="007A095F">
        <w:rPr>
          <w:rFonts w:ascii="Times New Roman" w:eastAsia="Times New Roman" w:hAnsi="Times New Roman" w:cs="Times New Roman"/>
          <w:color w:val="000000"/>
          <w:sz w:val="20"/>
          <w:szCs w:val="20"/>
        </w:rPr>
        <w:t>rugi namenski prihodki proračuna.</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082E6A"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7A095F" w:rsidRPr="007A095F">
        <w:rPr>
          <w:rFonts w:ascii="Times New Roman" w:eastAsia="Times New Roman" w:hAnsi="Times New Roman" w:cs="Times New Roman"/>
          <w:color w:val="000000"/>
          <w:sz w:val="20"/>
          <w:szCs w:val="20"/>
        </w:rPr>
        <w:t>. člen</w:t>
      </w:r>
    </w:p>
    <w:p w:rsidR="007A095F" w:rsidRPr="007A095F" w:rsidRDefault="007A095F"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(prerazporejanje pravic porabe)</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Osnova za prerazporejanje pravic porabe je zadnji sprejeti proračun, spremembe proračuna ali rebalans proračuna.</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O prerazporeditvah pravic porabe v posebnem delu proračuna med posameznimi proračunskimi postavkami znotraj podprograma, med podprogrami v okviru glavnih programov in med glavnimi programi v okviru področja proračunske porabe odloča župan na predlog neposrednega uporabnika.</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Župan s poročilom o izvrševanju proračuna med proračunskim letom in konec leta z zaključnim računom poroča občinskemu svetu o veljavnem proračunu za leto</w:t>
      </w:r>
      <w:r w:rsidR="00384131">
        <w:rPr>
          <w:rFonts w:ascii="Times New Roman" w:eastAsia="Times New Roman" w:hAnsi="Times New Roman" w:cs="Times New Roman"/>
          <w:color w:val="000000"/>
          <w:sz w:val="20"/>
          <w:szCs w:val="20"/>
        </w:rPr>
        <w:t xml:space="preserve"> 2015</w:t>
      </w:r>
      <w:r w:rsidRPr="007A095F">
        <w:rPr>
          <w:rFonts w:ascii="Times New Roman" w:eastAsia="Times New Roman" w:hAnsi="Times New Roman" w:cs="Times New Roman"/>
          <w:color w:val="000000"/>
          <w:sz w:val="20"/>
          <w:szCs w:val="20"/>
        </w:rPr>
        <w:t xml:space="preserve"> in njegovi realizaciji.</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082E6A"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7A095F" w:rsidRPr="007A095F">
        <w:rPr>
          <w:rFonts w:ascii="Times New Roman" w:eastAsia="Times New Roman" w:hAnsi="Times New Roman" w:cs="Times New Roman"/>
          <w:color w:val="000000"/>
          <w:sz w:val="20"/>
          <w:szCs w:val="20"/>
        </w:rPr>
        <w:t>. člen</w:t>
      </w:r>
    </w:p>
    <w:p w:rsidR="007A095F" w:rsidRPr="007A095F" w:rsidRDefault="007A095F"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(največji dovoljeni obseg prevzetih obveznosti v breme proračunov prihodnjih let)</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Neposredni uporabnik lahko v tekočem letu razpiše javno naročilo za celotno vrednost projekta, ki je vključen v načrt razvojnih programov, če so zanj načrtovane pravice porabe na proračunskih postavkah v sprejetem proračunu.</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Skupni obseg prevzetih obveznosti neposrednega uporabnika, ki bodo zapadle v plačilo v prihodnjih letih za investicijske odhodke in investicijs</w:t>
      </w:r>
      <w:r w:rsidR="00F54ECF">
        <w:rPr>
          <w:rFonts w:ascii="Times New Roman" w:eastAsia="Times New Roman" w:hAnsi="Times New Roman" w:cs="Times New Roman"/>
          <w:color w:val="000000"/>
          <w:sz w:val="20"/>
          <w:szCs w:val="20"/>
        </w:rPr>
        <w:t>ke transfere ne sme presegati 70</w:t>
      </w:r>
      <w:r w:rsidRPr="007A095F">
        <w:rPr>
          <w:rFonts w:ascii="Times New Roman" w:eastAsia="Times New Roman" w:hAnsi="Times New Roman" w:cs="Times New Roman"/>
          <w:color w:val="000000"/>
          <w:sz w:val="20"/>
          <w:szCs w:val="20"/>
        </w:rPr>
        <w:t xml:space="preserve"> % pravic porabe v sprejetem finančnem načrtu neposrednega uporabnika, od tega:</w:t>
      </w:r>
    </w:p>
    <w:p w:rsidR="007A095F" w:rsidRPr="007A095F" w:rsidRDefault="001C2ECA"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v letu 2015</w:t>
      </w:r>
      <w:r w:rsidR="00F54ECF">
        <w:rPr>
          <w:rFonts w:ascii="Times New Roman" w:eastAsia="Times New Roman" w:hAnsi="Times New Roman" w:cs="Times New Roman"/>
          <w:color w:val="000000"/>
          <w:sz w:val="20"/>
          <w:szCs w:val="20"/>
        </w:rPr>
        <w:t xml:space="preserve"> 70 </w:t>
      </w:r>
      <w:r w:rsidR="007A095F" w:rsidRPr="007A095F">
        <w:rPr>
          <w:rFonts w:ascii="Times New Roman" w:eastAsia="Times New Roman" w:hAnsi="Times New Roman" w:cs="Times New Roman"/>
          <w:color w:val="000000"/>
          <w:sz w:val="20"/>
          <w:szCs w:val="20"/>
        </w:rPr>
        <w:t>% navedenih pravic porabe in</w:t>
      </w:r>
    </w:p>
    <w:p w:rsidR="007A095F" w:rsidRPr="007A095F" w:rsidRDefault="00F54EC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v ostalih prihodnjih letih 70</w:t>
      </w:r>
      <w:r w:rsidR="007A095F" w:rsidRPr="007A095F">
        <w:rPr>
          <w:rFonts w:ascii="Times New Roman" w:eastAsia="Times New Roman" w:hAnsi="Times New Roman" w:cs="Times New Roman"/>
          <w:color w:val="000000"/>
          <w:sz w:val="20"/>
          <w:szCs w:val="20"/>
        </w:rPr>
        <w:t xml:space="preserve"> % navedenih pravic porabe.</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lastRenderedPageBreak/>
        <w:t>Skupni obseg prevzetih obveznosti neposrednega uporabnika, ki bodo zapadle v plačilo v prihodnjih letih za blago in storitve in za tekoče transfere, ne sme</w:t>
      </w:r>
      <w:r w:rsidR="0006268F">
        <w:rPr>
          <w:rFonts w:ascii="Times New Roman" w:eastAsia="Times New Roman" w:hAnsi="Times New Roman" w:cs="Times New Roman"/>
          <w:color w:val="000000"/>
          <w:sz w:val="20"/>
          <w:szCs w:val="20"/>
        </w:rPr>
        <w:t xml:space="preserve"> presegati 25 </w:t>
      </w:r>
      <w:r w:rsidRPr="007A095F">
        <w:rPr>
          <w:rFonts w:ascii="Times New Roman" w:eastAsia="Times New Roman" w:hAnsi="Times New Roman" w:cs="Times New Roman"/>
          <w:color w:val="000000"/>
          <w:sz w:val="20"/>
          <w:szCs w:val="20"/>
        </w:rPr>
        <w:t>% pravic porabe v sprejetem finančnem načrtu neposrednega uporabnika.</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Omejitve iz prvega in drugega odstavka tega člena ne veljajo za prevzemanje obveznosti z najemnimi pogodbami, razen če na podlagi teh pogodb lastninska pravica preide oziroma lahko preide iz najemodajalca na najemnika, in prevzemanje obveznosti za dobavo elektrike, telefona, vode, komunalnih storitve in drugih storitev, potrebnih za operativno de</w:t>
      </w:r>
      <w:r w:rsidR="00BF256E">
        <w:rPr>
          <w:rFonts w:ascii="Times New Roman" w:eastAsia="Times New Roman" w:hAnsi="Times New Roman" w:cs="Times New Roman"/>
          <w:color w:val="000000"/>
          <w:sz w:val="20"/>
          <w:szCs w:val="20"/>
        </w:rPr>
        <w:t xml:space="preserve">lovanje neposrednih uporabnikov ter prevzemanje obveznosti za pogodbe, ki se financirajo iz predpristopnih pomoči, </w:t>
      </w:r>
      <w:proofErr w:type="spellStart"/>
      <w:r w:rsidR="00BF256E">
        <w:rPr>
          <w:rFonts w:ascii="Times New Roman" w:eastAsia="Times New Roman" w:hAnsi="Times New Roman" w:cs="Times New Roman"/>
          <w:color w:val="000000"/>
          <w:sz w:val="20"/>
          <w:szCs w:val="20"/>
        </w:rPr>
        <w:t>popristopnih</w:t>
      </w:r>
      <w:proofErr w:type="spellEnd"/>
      <w:r w:rsidR="00BF256E">
        <w:rPr>
          <w:rFonts w:ascii="Times New Roman" w:eastAsia="Times New Roman" w:hAnsi="Times New Roman" w:cs="Times New Roman"/>
          <w:color w:val="000000"/>
          <w:sz w:val="20"/>
          <w:szCs w:val="20"/>
        </w:rPr>
        <w:t xml:space="preserve"> pomoči in sredstev drugih donatorjev.</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Prevzete obveznosti iz drugega in tretjega odstavka tega člena se načrtujejo v  finančnem načrtu neposrednega uporabnika in načrtu razvojnih programov.</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082E6A"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7A095F" w:rsidRPr="007A095F">
        <w:rPr>
          <w:rFonts w:ascii="Times New Roman" w:eastAsia="Times New Roman" w:hAnsi="Times New Roman" w:cs="Times New Roman"/>
          <w:color w:val="000000"/>
          <w:sz w:val="20"/>
          <w:szCs w:val="20"/>
        </w:rPr>
        <w:t>. člen</w:t>
      </w:r>
    </w:p>
    <w:p w:rsidR="007A095F" w:rsidRPr="007A095F" w:rsidRDefault="007A095F"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(spreminjanje načrta razvojnih programov)</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BF256E" w:rsidRDefault="00BF256E"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Neposredni uporabnik vodi evidenco projektov iz veljavnega načrta razvojnih programov.</w:t>
      </w:r>
    </w:p>
    <w:p w:rsidR="00BF256E" w:rsidRDefault="00BF256E"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BF256E" w:rsidRDefault="00BF256E"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Spremembe veljavnega načrta razvojnih programov so uvrstitev projektov v načrt razvojnih programov in druge spremembe projektov.</w:t>
      </w:r>
    </w:p>
    <w:p w:rsidR="00BF256E" w:rsidRDefault="00BF256E"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BF256E" w:rsidRDefault="00BF256E"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Neposredni uporabnik mora v 30 dneh po uveljavitvi proračuna uskladiti načrt razvojnih programov z veljavnim proračunom. Neusklajenost med veljavnim proračunom in veljavnim načrtom razvojnih programov je dopustna le v delih, kjer se projekti financirajo z namenskimi prejemki.</w:t>
      </w:r>
    </w:p>
    <w:p w:rsidR="00BF256E" w:rsidRDefault="00BF256E"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342C16"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 preteku roka iz prejšnjega odstavka o spremembi vrednosti veljavnih projektov do 20 % izhodiščne vrednosti odloča župan. Občinski svet odloča o uvrstitvi projektov v veljavni načrt razvojnih programov in o spremembi vrednosti projektov nad 20 % izhodiščne vrednosti projektov.</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DA554B"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Projekte</w:t>
      </w:r>
      <w:r w:rsidR="007A095F" w:rsidRPr="007A095F">
        <w:rPr>
          <w:rFonts w:ascii="Times New Roman" w:eastAsia="Times New Roman" w:hAnsi="Times New Roman" w:cs="Times New Roman"/>
          <w:color w:val="000000"/>
          <w:sz w:val="20"/>
          <w:szCs w:val="20"/>
        </w:rPr>
        <w:t xml:space="preserve">, za katere se zaradi prenosa plačil v tekoče leto, zaključek financiranja prestavi iz predhodnega v tekoče leto, </w:t>
      </w:r>
      <w:r>
        <w:rPr>
          <w:rFonts w:ascii="Times New Roman" w:eastAsia="Times New Roman" w:hAnsi="Times New Roman" w:cs="Times New Roman"/>
          <w:color w:val="000000"/>
          <w:sz w:val="20"/>
          <w:szCs w:val="20"/>
        </w:rPr>
        <w:t>neposredni uporabnik uvrsti</w:t>
      </w:r>
      <w:r w:rsidR="007A095F" w:rsidRPr="007A095F">
        <w:rPr>
          <w:rFonts w:ascii="Times New Roman" w:eastAsia="Times New Roman" w:hAnsi="Times New Roman" w:cs="Times New Roman"/>
          <w:color w:val="000000"/>
          <w:sz w:val="20"/>
          <w:szCs w:val="20"/>
        </w:rPr>
        <w:t xml:space="preserve"> v načrt razvojnih programov </w:t>
      </w:r>
      <w:r>
        <w:rPr>
          <w:rFonts w:ascii="Times New Roman" w:eastAsia="Times New Roman" w:hAnsi="Times New Roman" w:cs="Times New Roman"/>
          <w:color w:val="000000"/>
          <w:sz w:val="20"/>
          <w:szCs w:val="20"/>
        </w:rPr>
        <w:t xml:space="preserve">v 30 dneh </w:t>
      </w:r>
      <w:r w:rsidR="007A095F" w:rsidRPr="007A095F">
        <w:rPr>
          <w:rFonts w:ascii="Times New Roman" w:eastAsia="Times New Roman" w:hAnsi="Times New Roman" w:cs="Times New Roman"/>
          <w:color w:val="000000"/>
          <w:sz w:val="20"/>
          <w:szCs w:val="20"/>
        </w:rPr>
        <w:t>po uveljavitvi proračuna.</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DA554B"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Neposredni uporabnik usklajuje spremembe proračunskih virov v veljavnem načrtu razvojnih programov za prihodnja leta znotraj podprograma sprejetega načrta razvojnih programov za posamezno leto.</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061871"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7A095F" w:rsidRPr="007A095F">
        <w:rPr>
          <w:rFonts w:ascii="Times New Roman" w:eastAsia="Times New Roman" w:hAnsi="Times New Roman" w:cs="Times New Roman"/>
          <w:color w:val="000000"/>
          <w:sz w:val="20"/>
          <w:szCs w:val="20"/>
        </w:rPr>
        <w:t>. člen</w:t>
      </w:r>
    </w:p>
    <w:p w:rsidR="007A095F" w:rsidRPr="007A095F" w:rsidRDefault="00342C16"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(proračunski sklad</w:t>
      </w:r>
      <w:r w:rsidR="007A095F" w:rsidRPr="007A095F">
        <w:rPr>
          <w:rFonts w:ascii="Times New Roman" w:eastAsia="Times New Roman" w:hAnsi="Times New Roman" w:cs="Times New Roman"/>
          <w:color w:val="000000"/>
          <w:sz w:val="20"/>
          <w:szCs w:val="20"/>
        </w:rPr>
        <w:t>)</w:t>
      </w:r>
    </w:p>
    <w:p w:rsid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DA554B" w:rsidRDefault="00DA554B"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Proračunski sklad je :</w:t>
      </w:r>
    </w:p>
    <w:p w:rsidR="00DA554B" w:rsidRPr="00DA554B" w:rsidRDefault="00DA554B" w:rsidP="00DA554B">
      <w:pPr>
        <w:pStyle w:val="Odstavekseznama"/>
        <w:numPr>
          <w:ilvl w:val="0"/>
          <w:numId w:val="4"/>
        </w:num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podračun proračunske rezerve, oblikovane po ZJF.</w:t>
      </w:r>
    </w:p>
    <w:p w:rsidR="00DA554B" w:rsidRDefault="00DA554B"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Pr</w:t>
      </w:r>
      <w:r w:rsidR="00384131">
        <w:rPr>
          <w:rFonts w:ascii="Times New Roman" w:eastAsia="Times New Roman" w:hAnsi="Times New Roman" w:cs="Times New Roman"/>
          <w:color w:val="000000"/>
          <w:sz w:val="20"/>
          <w:szCs w:val="20"/>
        </w:rPr>
        <w:t>oračunska rezerva se v letu 2015</w:t>
      </w:r>
      <w:r w:rsidRPr="007A095F">
        <w:rPr>
          <w:rFonts w:ascii="Times New Roman" w:eastAsia="Times New Roman" w:hAnsi="Times New Roman" w:cs="Times New Roman"/>
          <w:color w:val="000000"/>
          <w:sz w:val="20"/>
          <w:szCs w:val="20"/>
        </w:rPr>
        <w:t xml:space="preserve"> oblikuje v višini</w:t>
      </w:r>
      <w:r w:rsidR="00061871">
        <w:rPr>
          <w:rFonts w:ascii="Times New Roman" w:eastAsia="Times New Roman" w:hAnsi="Times New Roman" w:cs="Times New Roman"/>
          <w:color w:val="000000"/>
          <w:sz w:val="20"/>
          <w:szCs w:val="20"/>
        </w:rPr>
        <w:t xml:space="preserve">  3</w:t>
      </w:r>
      <w:r w:rsidRPr="007A095F">
        <w:rPr>
          <w:rFonts w:ascii="Times New Roman" w:eastAsia="Times New Roman" w:hAnsi="Times New Roman" w:cs="Times New Roman"/>
          <w:color w:val="000000"/>
          <w:sz w:val="20"/>
          <w:szCs w:val="20"/>
        </w:rPr>
        <w:t xml:space="preserve">.000,00 </w:t>
      </w:r>
      <w:proofErr w:type="spellStart"/>
      <w:r w:rsidRPr="007A095F">
        <w:rPr>
          <w:rFonts w:ascii="Times New Roman" w:eastAsia="Times New Roman" w:hAnsi="Times New Roman" w:cs="Times New Roman"/>
          <w:color w:val="000000"/>
          <w:sz w:val="20"/>
          <w:szCs w:val="20"/>
        </w:rPr>
        <w:t>eurov</w:t>
      </w:r>
      <w:proofErr w:type="spellEnd"/>
      <w:r w:rsidRPr="007A095F">
        <w:rPr>
          <w:rFonts w:ascii="Times New Roman" w:eastAsia="Times New Roman" w:hAnsi="Times New Roman" w:cs="Times New Roman"/>
          <w:color w:val="000000"/>
          <w:sz w:val="20"/>
          <w:szCs w:val="20"/>
        </w:rPr>
        <w:t>.</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O uporabi sredstev proračunske rezerve za namene iz drugega odstavka 49. člena ZJF do višine</w:t>
      </w:r>
      <w:r w:rsidR="00061871">
        <w:rPr>
          <w:rFonts w:ascii="Times New Roman" w:eastAsia="Times New Roman" w:hAnsi="Times New Roman" w:cs="Times New Roman"/>
          <w:color w:val="000000"/>
          <w:sz w:val="20"/>
          <w:szCs w:val="20"/>
        </w:rPr>
        <w:t xml:space="preserve"> 3</w:t>
      </w:r>
      <w:r w:rsidRPr="007A095F">
        <w:rPr>
          <w:rFonts w:ascii="Times New Roman" w:eastAsia="Times New Roman" w:hAnsi="Times New Roman" w:cs="Times New Roman"/>
          <w:color w:val="000000"/>
          <w:sz w:val="20"/>
          <w:szCs w:val="20"/>
        </w:rPr>
        <w:t xml:space="preserve">.000,00 </w:t>
      </w:r>
      <w:proofErr w:type="spellStart"/>
      <w:r w:rsidRPr="007A095F">
        <w:rPr>
          <w:rFonts w:ascii="Times New Roman" w:eastAsia="Times New Roman" w:hAnsi="Times New Roman" w:cs="Times New Roman"/>
          <w:color w:val="000000"/>
          <w:sz w:val="20"/>
          <w:szCs w:val="20"/>
        </w:rPr>
        <w:t>eurov</w:t>
      </w:r>
      <w:proofErr w:type="spellEnd"/>
      <w:r w:rsidRPr="007A095F">
        <w:rPr>
          <w:rFonts w:ascii="Times New Roman" w:eastAsia="Times New Roman" w:hAnsi="Times New Roman" w:cs="Times New Roman"/>
          <w:color w:val="000000"/>
          <w:sz w:val="20"/>
          <w:szCs w:val="20"/>
        </w:rPr>
        <w:t xml:space="preserve"> odloča župan in o tem s pisnimi poročili obvešča občinski svet.</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Cs/>
          <w:color w:val="000000"/>
          <w:sz w:val="20"/>
          <w:szCs w:val="20"/>
        </w:rPr>
      </w:pPr>
      <w:r w:rsidRPr="007A095F">
        <w:rPr>
          <w:rFonts w:ascii="Times New Roman" w:eastAsia="Times New Roman" w:hAnsi="Times New Roman" w:cs="Times New Roman"/>
          <w:bCs/>
          <w:color w:val="000000"/>
          <w:sz w:val="20"/>
          <w:szCs w:val="20"/>
        </w:rPr>
        <w:t>4. POSEBNOSTI UPRAVLJANJA IN PRODAJE STVARNEGA IN FINANČNEGA PREMOŽENJA DRŽAVE</w:t>
      </w:r>
    </w:p>
    <w:p w:rsidR="007A095F" w:rsidRPr="007A095F" w:rsidRDefault="00061871"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7A095F" w:rsidRPr="007A095F">
        <w:rPr>
          <w:rFonts w:ascii="Times New Roman" w:eastAsia="Times New Roman" w:hAnsi="Times New Roman" w:cs="Times New Roman"/>
          <w:color w:val="000000"/>
          <w:sz w:val="20"/>
          <w:szCs w:val="20"/>
        </w:rPr>
        <w:t>. člen</w:t>
      </w:r>
    </w:p>
    <w:p w:rsidR="007A095F" w:rsidRPr="007A095F" w:rsidRDefault="007A095F"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(odpis dolgov)</w:t>
      </w:r>
    </w:p>
    <w:p w:rsidR="007A095F" w:rsidRPr="007A095F" w:rsidRDefault="007A095F"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Če so izpolnjeni pogoji iz tretjega odstavka 77. čl</w:t>
      </w:r>
      <w:r w:rsidR="0006268F">
        <w:rPr>
          <w:rFonts w:ascii="Times New Roman" w:eastAsia="Times New Roman" w:hAnsi="Times New Roman" w:cs="Times New Roman"/>
          <w:color w:val="000000"/>
          <w:sz w:val="20"/>
          <w:szCs w:val="20"/>
        </w:rPr>
        <w:t>ena ZJF, lahko župan v letu 2015</w:t>
      </w:r>
      <w:r w:rsidRPr="007A095F">
        <w:rPr>
          <w:rFonts w:ascii="Times New Roman" w:eastAsia="Times New Roman" w:hAnsi="Times New Roman" w:cs="Times New Roman"/>
          <w:color w:val="000000"/>
          <w:sz w:val="20"/>
          <w:szCs w:val="20"/>
        </w:rPr>
        <w:t xml:space="preserve"> odpiše dolgove, ki jih imajo dolžniki do občine, in sicer največ do skupne višine 250,00 </w:t>
      </w:r>
      <w:proofErr w:type="spellStart"/>
      <w:r w:rsidRPr="007A095F">
        <w:rPr>
          <w:rFonts w:ascii="Times New Roman" w:eastAsia="Times New Roman" w:hAnsi="Times New Roman" w:cs="Times New Roman"/>
          <w:color w:val="000000"/>
          <w:sz w:val="20"/>
          <w:szCs w:val="20"/>
        </w:rPr>
        <w:t>eurov</w:t>
      </w:r>
      <w:proofErr w:type="spellEnd"/>
      <w:r w:rsidRPr="007A095F">
        <w:rPr>
          <w:rFonts w:ascii="Times New Roman" w:eastAsia="Times New Roman" w:hAnsi="Times New Roman" w:cs="Times New Roman"/>
          <w:color w:val="000000"/>
          <w:sz w:val="20"/>
          <w:szCs w:val="20"/>
        </w:rPr>
        <w:t xml:space="preserve"> .</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342C16" w:rsidRDefault="00342C16"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342C16" w:rsidRDefault="00342C16"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342C16" w:rsidRDefault="00342C16"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342C16" w:rsidRDefault="00342C16"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342C16" w:rsidRDefault="00342C16"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342C16" w:rsidRDefault="00342C16"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342C16" w:rsidRPr="007A095F" w:rsidRDefault="00342C16"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lastRenderedPageBreak/>
        <w:t>5. OBSEG ZADOLŽEVANJA IN POROŠTEV OBČINE IN JAVNEGA SEKTORJA</w:t>
      </w:r>
    </w:p>
    <w:p w:rsidR="007A095F" w:rsidRPr="007A095F" w:rsidRDefault="007A095F"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p>
    <w:p w:rsidR="007A095F" w:rsidRPr="007A095F" w:rsidRDefault="00061871"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7A095F" w:rsidRPr="007A095F">
        <w:rPr>
          <w:rFonts w:ascii="Times New Roman" w:eastAsia="Times New Roman" w:hAnsi="Times New Roman" w:cs="Times New Roman"/>
          <w:color w:val="000000"/>
          <w:sz w:val="20"/>
          <w:szCs w:val="20"/>
        </w:rPr>
        <w:t>. člen</w:t>
      </w:r>
    </w:p>
    <w:p w:rsidR="007A095F" w:rsidRPr="007A095F" w:rsidRDefault="007A095F"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(obseg zadolževanja občine in izdanih poroštev občine</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Župan je pooblaščen, da lahko v primeru neenakomernega pritekanja prihodkov proračuna, ko izvrševanje proračuna ne more uravnovesiti, za začasno kritje odhodkov najame premostitveno kratkoročno posojilo, ki pa mora biti vrnjeno do konca proračunskega leta.</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Ob</w:t>
      </w:r>
      <w:r w:rsidR="001C2ECA">
        <w:rPr>
          <w:rFonts w:ascii="Times New Roman" w:eastAsia="Times New Roman" w:hAnsi="Times New Roman" w:cs="Times New Roman"/>
          <w:color w:val="000000"/>
          <w:sz w:val="20"/>
          <w:szCs w:val="20"/>
        </w:rPr>
        <w:t>čina Gornji Petro</w:t>
      </w:r>
      <w:r w:rsidR="00384131">
        <w:rPr>
          <w:rFonts w:ascii="Times New Roman" w:eastAsia="Times New Roman" w:hAnsi="Times New Roman" w:cs="Times New Roman"/>
          <w:color w:val="000000"/>
          <w:sz w:val="20"/>
          <w:szCs w:val="20"/>
        </w:rPr>
        <w:t>vci v letu 2015</w:t>
      </w:r>
      <w:r w:rsidRPr="007A095F">
        <w:rPr>
          <w:rFonts w:ascii="Times New Roman" w:eastAsia="Times New Roman" w:hAnsi="Times New Roman" w:cs="Times New Roman"/>
          <w:color w:val="000000"/>
          <w:sz w:val="20"/>
          <w:szCs w:val="20"/>
        </w:rPr>
        <w:t xml:space="preserve"> ne bo izdajala poroštev.</w:t>
      </w:r>
    </w:p>
    <w:p w:rsidR="00061871" w:rsidRDefault="00061871"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061871" w:rsidRPr="007A095F" w:rsidRDefault="00061871"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061871"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007A095F" w:rsidRPr="007A095F">
        <w:rPr>
          <w:rFonts w:ascii="Times New Roman" w:eastAsia="Times New Roman" w:hAnsi="Times New Roman" w:cs="Times New Roman"/>
          <w:color w:val="000000"/>
          <w:sz w:val="20"/>
          <w:szCs w:val="20"/>
        </w:rPr>
        <w:t>. člen</w:t>
      </w:r>
    </w:p>
    <w:p w:rsidR="007A095F" w:rsidRPr="007A095F" w:rsidRDefault="007A095F"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(obseg zadolževanja in izdanih poroštev posrednih uporabnikov občinskega proračuna,in javnih podjetij, katerih ustanoviteljica je občina ter pravnih oseb, v katerih ima občina neposredno ali posredno prevladujoč vpliv na upravljanje)</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bookmarkStart w:id="0" w:name="_GoBack"/>
      <w:bookmarkEnd w:id="0"/>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 xml:space="preserve">Posredni uporabniki občinskega proračuna, javna podjetja, katerih ustanoviteljica je občina ter druge pravne osebe, v katerih ima občina neposredno ali posredno prevladujoč vpliv na upravljanje </w:t>
      </w:r>
      <w:r w:rsidR="0006268F">
        <w:rPr>
          <w:rFonts w:ascii="Times New Roman" w:eastAsia="Times New Roman" w:hAnsi="Times New Roman" w:cs="Times New Roman"/>
          <w:color w:val="000000"/>
          <w:sz w:val="20"/>
          <w:szCs w:val="20"/>
        </w:rPr>
        <w:t>se v letu 2015</w:t>
      </w:r>
      <w:r w:rsidRPr="007A095F">
        <w:rPr>
          <w:rFonts w:ascii="Times New Roman" w:eastAsia="Times New Roman" w:hAnsi="Times New Roman" w:cs="Times New Roman"/>
          <w:color w:val="000000"/>
          <w:sz w:val="20"/>
          <w:szCs w:val="20"/>
        </w:rPr>
        <w:t xml:space="preserve"> ne smejo zadolžiti.</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 xml:space="preserve">Posredni uporabniki občinskega proračuna, javna podjetja, katerih ustanoviteljica je občina ter druge pravne osebe, v katerih ima občina neposredno ali posredno prevladujoč vpliv na upravljanje </w:t>
      </w:r>
      <w:r w:rsidR="0006268F">
        <w:rPr>
          <w:rFonts w:ascii="Times New Roman" w:eastAsia="Times New Roman" w:hAnsi="Times New Roman" w:cs="Times New Roman"/>
          <w:color w:val="000000"/>
          <w:sz w:val="20"/>
          <w:szCs w:val="20"/>
        </w:rPr>
        <w:t>v letu 2015</w:t>
      </w:r>
      <w:r w:rsidRPr="007A095F">
        <w:rPr>
          <w:rFonts w:ascii="Times New Roman" w:eastAsia="Times New Roman" w:hAnsi="Times New Roman" w:cs="Times New Roman"/>
          <w:color w:val="000000"/>
          <w:sz w:val="20"/>
          <w:szCs w:val="20"/>
        </w:rPr>
        <w:t xml:space="preserve"> ne smejo izdajati poroštev.</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061871"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007A095F" w:rsidRPr="007A095F">
        <w:rPr>
          <w:rFonts w:ascii="Times New Roman" w:eastAsia="Times New Roman" w:hAnsi="Times New Roman" w:cs="Times New Roman"/>
          <w:color w:val="000000"/>
          <w:sz w:val="20"/>
          <w:szCs w:val="20"/>
        </w:rPr>
        <w:t>. člen</w:t>
      </w:r>
    </w:p>
    <w:p w:rsidR="007A095F" w:rsidRPr="007A095F" w:rsidRDefault="007A095F"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(obseg zadolževanja občine za upravljanje z dolgom občinskega proračuna)</w:t>
      </w:r>
    </w:p>
    <w:p w:rsidR="007A095F" w:rsidRPr="007A095F" w:rsidRDefault="007A095F"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 xml:space="preserve">Za potrebe upravljanja občinskega dolga se občina </w:t>
      </w:r>
      <w:r w:rsidR="000A30ED">
        <w:rPr>
          <w:rFonts w:ascii="Times New Roman" w:eastAsia="Times New Roman" w:hAnsi="Times New Roman" w:cs="Times New Roman"/>
          <w:color w:val="000000"/>
          <w:sz w:val="20"/>
          <w:szCs w:val="20"/>
        </w:rPr>
        <w:t>v letu 2015</w:t>
      </w:r>
      <w:r w:rsidR="00061871">
        <w:rPr>
          <w:rFonts w:ascii="Times New Roman" w:eastAsia="Times New Roman" w:hAnsi="Times New Roman" w:cs="Times New Roman"/>
          <w:color w:val="000000"/>
          <w:sz w:val="20"/>
          <w:szCs w:val="20"/>
        </w:rPr>
        <w:t xml:space="preserve"> ne bo zadolžila</w:t>
      </w:r>
      <w:r w:rsidRPr="007A095F">
        <w:rPr>
          <w:rFonts w:ascii="Times New Roman" w:eastAsia="Times New Roman" w:hAnsi="Times New Roman" w:cs="Times New Roman"/>
          <w:color w:val="000000"/>
          <w:sz w:val="20"/>
          <w:szCs w:val="20"/>
        </w:rPr>
        <w:t>.</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6. PREHODNE IN KONČNE DOLOČBE</w:t>
      </w:r>
    </w:p>
    <w:p w:rsidR="007A095F" w:rsidRPr="007A095F" w:rsidRDefault="00061871"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007A095F" w:rsidRPr="007A095F">
        <w:rPr>
          <w:rFonts w:ascii="Times New Roman" w:eastAsia="Times New Roman" w:hAnsi="Times New Roman" w:cs="Times New Roman"/>
          <w:color w:val="000000"/>
          <w:sz w:val="20"/>
          <w:szCs w:val="20"/>
        </w:rPr>
        <w:t>. člen</w:t>
      </w:r>
    </w:p>
    <w:p w:rsidR="007A095F" w:rsidRPr="007A095F" w:rsidRDefault="007A095F"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(začasno financiranje v letu 20</w:t>
      </w:r>
      <w:r w:rsidR="000A30ED">
        <w:rPr>
          <w:rFonts w:ascii="Times New Roman" w:eastAsia="Times New Roman" w:hAnsi="Times New Roman" w:cs="Times New Roman"/>
          <w:color w:val="000000"/>
          <w:sz w:val="20"/>
          <w:szCs w:val="20"/>
        </w:rPr>
        <w:t>16</w:t>
      </w:r>
      <w:r w:rsidRPr="007A095F">
        <w:rPr>
          <w:rFonts w:ascii="Times New Roman" w:eastAsia="Times New Roman" w:hAnsi="Times New Roman" w:cs="Times New Roman"/>
          <w:color w:val="000000"/>
          <w:sz w:val="20"/>
          <w:szCs w:val="20"/>
        </w:rPr>
        <w:t>)</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V obdobju začasnega financiranja Občine</w:t>
      </w:r>
      <w:r w:rsidR="000A30ED">
        <w:rPr>
          <w:rFonts w:ascii="Times New Roman" w:eastAsia="Times New Roman" w:hAnsi="Times New Roman" w:cs="Times New Roman"/>
          <w:color w:val="000000"/>
          <w:sz w:val="20"/>
          <w:szCs w:val="20"/>
        </w:rPr>
        <w:t xml:space="preserve"> Gornji Petrovci v letu 2016</w:t>
      </w:r>
      <w:r w:rsidRPr="007A095F">
        <w:rPr>
          <w:rFonts w:ascii="Times New Roman" w:eastAsia="Times New Roman" w:hAnsi="Times New Roman" w:cs="Times New Roman"/>
          <w:color w:val="000000"/>
          <w:sz w:val="20"/>
          <w:szCs w:val="20"/>
        </w:rPr>
        <w:t>, če bo začasno financiranje potrebno, se uporablja ta odlok in sklep o določitvi začasnega financiranja.</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E16A0B"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007A095F" w:rsidRPr="007A095F">
        <w:rPr>
          <w:rFonts w:ascii="Times New Roman" w:eastAsia="Times New Roman" w:hAnsi="Times New Roman" w:cs="Times New Roman"/>
          <w:color w:val="000000"/>
          <w:sz w:val="20"/>
          <w:szCs w:val="20"/>
        </w:rPr>
        <w:t>. člen</w:t>
      </w:r>
    </w:p>
    <w:p w:rsidR="007A095F" w:rsidRPr="007A095F" w:rsidRDefault="007A095F" w:rsidP="007A095F">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(uveljavitev odloka)</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Ta odlok začne veljati naslednji dan po objavi v Uradnem listu Republike Slovenije.</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1C2ECA"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Številka :</w:t>
      </w:r>
      <w:r w:rsidR="00BF7F34">
        <w:rPr>
          <w:rFonts w:ascii="Times New Roman" w:eastAsia="Times New Roman" w:hAnsi="Times New Roman" w:cs="Times New Roman"/>
          <w:color w:val="000000"/>
          <w:sz w:val="20"/>
          <w:szCs w:val="20"/>
        </w:rPr>
        <w:t xml:space="preserve"> </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 xml:space="preserve">Gornji Petrovci, </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 xml:space="preserve">                  OBČINA GORNJI PETROVCI</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r>
      <w:r w:rsidRPr="007A095F">
        <w:rPr>
          <w:rFonts w:ascii="Times New Roman" w:eastAsia="Times New Roman" w:hAnsi="Times New Roman" w:cs="Times New Roman"/>
          <w:color w:val="000000"/>
          <w:sz w:val="20"/>
          <w:szCs w:val="20"/>
        </w:rPr>
        <w:tab/>
        <w:t xml:space="preserve">   </w:t>
      </w:r>
      <w:r w:rsidRPr="007A095F">
        <w:rPr>
          <w:rFonts w:ascii="Times New Roman" w:eastAsia="Times New Roman" w:hAnsi="Times New Roman" w:cs="Times New Roman"/>
          <w:color w:val="000000"/>
          <w:sz w:val="20"/>
          <w:szCs w:val="20"/>
        </w:rPr>
        <w:tab/>
        <w:t xml:space="preserve">  FRANC ŠLIHTHUBER, </w:t>
      </w:r>
      <w:r w:rsidR="0014258D">
        <w:rPr>
          <w:rFonts w:ascii="Times New Roman" w:eastAsia="Times New Roman" w:hAnsi="Times New Roman" w:cs="Times New Roman"/>
          <w:color w:val="000000"/>
          <w:sz w:val="20"/>
          <w:szCs w:val="20"/>
        </w:rPr>
        <w:t xml:space="preserve">l.r. </w:t>
      </w:r>
      <w:r w:rsidRPr="007A095F">
        <w:rPr>
          <w:rFonts w:ascii="Times New Roman" w:eastAsia="Times New Roman" w:hAnsi="Times New Roman" w:cs="Times New Roman"/>
          <w:color w:val="000000"/>
          <w:sz w:val="20"/>
          <w:szCs w:val="20"/>
        </w:rPr>
        <w:t>ŽUPAN</w:t>
      </w: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color w:val="000000"/>
          <w:sz w:val="20"/>
          <w:szCs w:val="20"/>
        </w:rPr>
      </w:pPr>
    </w:p>
    <w:p w:rsidR="007A095F" w:rsidRPr="007A095F" w:rsidRDefault="007A095F" w:rsidP="007A095F">
      <w:pPr>
        <w:spacing w:after="0" w:line="240" w:lineRule="auto"/>
        <w:jc w:val="both"/>
        <w:rPr>
          <w:rFonts w:ascii="Arial" w:eastAsia="Times New Roman" w:hAnsi="Arial" w:cs="Times New Roman"/>
          <w:szCs w:val="24"/>
        </w:rPr>
      </w:pPr>
    </w:p>
    <w:p w:rsidR="00D10156" w:rsidRDefault="00D10156"/>
    <w:sectPr w:rsidR="00D10156" w:rsidSect="00BE41F0">
      <w:footerReference w:type="even" r:id="rId9"/>
      <w:footerReference w:type="default" r:id="rId10"/>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5D" w:rsidRDefault="00D3065D">
      <w:pPr>
        <w:spacing w:after="0" w:line="240" w:lineRule="auto"/>
      </w:pPr>
      <w:r>
        <w:separator/>
      </w:r>
    </w:p>
  </w:endnote>
  <w:endnote w:type="continuationSeparator" w:id="0">
    <w:p w:rsidR="00D3065D" w:rsidRDefault="00D30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3E" w:rsidRDefault="0006187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0703E" w:rsidRDefault="00D3065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3E" w:rsidRDefault="0006187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6268F">
      <w:rPr>
        <w:rStyle w:val="tevilkastrani"/>
        <w:noProof/>
      </w:rPr>
      <w:t>5</w:t>
    </w:r>
    <w:r>
      <w:rPr>
        <w:rStyle w:val="tevilkastrani"/>
      </w:rPr>
      <w:fldChar w:fldCharType="end"/>
    </w:r>
  </w:p>
  <w:p w:rsidR="0000703E" w:rsidRDefault="00D3065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5D" w:rsidRDefault="00D3065D">
      <w:pPr>
        <w:spacing w:after="0" w:line="240" w:lineRule="auto"/>
      </w:pPr>
      <w:r>
        <w:separator/>
      </w:r>
    </w:p>
  </w:footnote>
  <w:footnote w:type="continuationSeparator" w:id="0">
    <w:p w:rsidR="00D3065D" w:rsidRDefault="00D30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B26"/>
    <w:multiLevelType w:val="hybridMultilevel"/>
    <w:tmpl w:val="B30EA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B3E89"/>
    <w:multiLevelType w:val="hybridMultilevel"/>
    <w:tmpl w:val="B9F0B07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E8901A7"/>
    <w:multiLevelType w:val="hybridMultilevel"/>
    <w:tmpl w:val="32843836"/>
    <w:lvl w:ilvl="0" w:tplc="0602D43A">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6F98761D"/>
    <w:multiLevelType w:val="hybridMultilevel"/>
    <w:tmpl w:val="D568B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5F"/>
    <w:rsid w:val="00015091"/>
    <w:rsid w:val="00061871"/>
    <w:rsid w:val="0006268F"/>
    <w:rsid w:val="00082E6A"/>
    <w:rsid w:val="000A30ED"/>
    <w:rsid w:val="000F3D59"/>
    <w:rsid w:val="0014258D"/>
    <w:rsid w:val="00172A87"/>
    <w:rsid w:val="001C2ECA"/>
    <w:rsid w:val="001D66E6"/>
    <w:rsid w:val="001F78A4"/>
    <w:rsid w:val="00245235"/>
    <w:rsid w:val="0026512D"/>
    <w:rsid w:val="0029080C"/>
    <w:rsid w:val="002A65F8"/>
    <w:rsid w:val="002D36C9"/>
    <w:rsid w:val="002F20B9"/>
    <w:rsid w:val="00327ED8"/>
    <w:rsid w:val="00342C16"/>
    <w:rsid w:val="00384131"/>
    <w:rsid w:val="005E556E"/>
    <w:rsid w:val="00667EA3"/>
    <w:rsid w:val="007A095F"/>
    <w:rsid w:val="007B4CB1"/>
    <w:rsid w:val="00882227"/>
    <w:rsid w:val="008F043C"/>
    <w:rsid w:val="009355CF"/>
    <w:rsid w:val="00987EE2"/>
    <w:rsid w:val="00A30A65"/>
    <w:rsid w:val="00A544FB"/>
    <w:rsid w:val="00A57941"/>
    <w:rsid w:val="00A937A8"/>
    <w:rsid w:val="00AA35C2"/>
    <w:rsid w:val="00AA754A"/>
    <w:rsid w:val="00B57EA0"/>
    <w:rsid w:val="00B60E49"/>
    <w:rsid w:val="00B72B81"/>
    <w:rsid w:val="00BA3E3E"/>
    <w:rsid w:val="00BE2C5B"/>
    <w:rsid w:val="00BF256E"/>
    <w:rsid w:val="00BF7F34"/>
    <w:rsid w:val="00BF7FA8"/>
    <w:rsid w:val="00C74F84"/>
    <w:rsid w:val="00D10156"/>
    <w:rsid w:val="00D3065D"/>
    <w:rsid w:val="00D42AC4"/>
    <w:rsid w:val="00D463AE"/>
    <w:rsid w:val="00DA554B"/>
    <w:rsid w:val="00E16A0B"/>
    <w:rsid w:val="00E36C09"/>
    <w:rsid w:val="00E423C8"/>
    <w:rsid w:val="00E560FD"/>
    <w:rsid w:val="00F0709F"/>
    <w:rsid w:val="00F33A71"/>
    <w:rsid w:val="00F35E9A"/>
    <w:rsid w:val="00F36C0A"/>
    <w:rsid w:val="00F54ECF"/>
    <w:rsid w:val="00F83517"/>
    <w:rsid w:val="00FB08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7A095F"/>
    <w:pPr>
      <w:tabs>
        <w:tab w:val="center" w:pos="4536"/>
        <w:tab w:val="right" w:pos="9072"/>
      </w:tabs>
      <w:spacing w:after="0" w:line="240" w:lineRule="auto"/>
      <w:jc w:val="both"/>
    </w:pPr>
    <w:rPr>
      <w:rFonts w:ascii="Arial" w:eastAsia="Times New Roman" w:hAnsi="Arial" w:cs="Times New Roman"/>
      <w:szCs w:val="24"/>
    </w:rPr>
  </w:style>
  <w:style w:type="character" w:customStyle="1" w:styleId="NogaZnak">
    <w:name w:val="Noga Znak"/>
    <w:basedOn w:val="Privzetapisavaodstavka"/>
    <w:link w:val="Noga"/>
    <w:rsid w:val="007A095F"/>
    <w:rPr>
      <w:rFonts w:ascii="Arial" w:eastAsia="Times New Roman" w:hAnsi="Arial" w:cs="Times New Roman"/>
      <w:szCs w:val="24"/>
    </w:rPr>
  </w:style>
  <w:style w:type="character" w:styleId="tevilkastrani">
    <w:name w:val="page number"/>
    <w:basedOn w:val="Privzetapisavaodstavka"/>
    <w:rsid w:val="007A095F"/>
  </w:style>
  <w:style w:type="paragraph" w:styleId="Odstavekseznama">
    <w:name w:val="List Paragraph"/>
    <w:basedOn w:val="Navaden"/>
    <w:uiPriority w:val="34"/>
    <w:qFormat/>
    <w:rsid w:val="00082E6A"/>
    <w:pPr>
      <w:ind w:left="720"/>
      <w:contextualSpacing/>
    </w:pPr>
  </w:style>
  <w:style w:type="paragraph" w:styleId="Besedilooblaka">
    <w:name w:val="Balloon Text"/>
    <w:basedOn w:val="Navaden"/>
    <w:link w:val="BesedilooblakaZnak"/>
    <w:uiPriority w:val="99"/>
    <w:semiHidden/>
    <w:unhideWhenUsed/>
    <w:rsid w:val="009355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5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7A095F"/>
    <w:pPr>
      <w:tabs>
        <w:tab w:val="center" w:pos="4536"/>
        <w:tab w:val="right" w:pos="9072"/>
      </w:tabs>
      <w:spacing w:after="0" w:line="240" w:lineRule="auto"/>
      <w:jc w:val="both"/>
    </w:pPr>
    <w:rPr>
      <w:rFonts w:ascii="Arial" w:eastAsia="Times New Roman" w:hAnsi="Arial" w:cs="Times New Roman"/>
      <w:szCs w:val="24"/>
    </w:rPr>
  </w:style>
  <w:style w:type="character" w:customStyle="1" w:styleId="NogaZnak">
    <w:name w:val="Noga Znak"/>
    <w:basedOn w:val="Privzetapisavaodstavka"/>
    <w:link w:val="Noga"/>
    <w:rsid w:val="007A095F"/>
    <w:rPr>
      <w:rFonts w:ascii="Arial" w:eastAsia="Times New Roman" w:hAnsi="Arial" w:cs="Times New Roman"/>
      <w:szCs w:val="24"/>
    </w:rPr>
  </w:style>
  <w:style w:type="character" w:styleId="tevilkastrani">
    <w:name w:val="page number"/>
    <w:basedOn w:val="Privzetapisavaodstavka"/>
    <w:rsid w:val="007A095F"/>
  </w:style>
  <w:style w:type="paragraph" w:styleId="Odstavekseznama">
    <w:name w:val="List Paragraph"/>
    <w:basedOn w:val="Navaden"/>
    <w:uiPriority w:val="34"/>
    <w:qFormat/>
    <w:rsid w:val="00082E6A"/>
    <w:pPr>
      <w:ind w:left="720"/>
      <w:contextualSpacing/>
    </w:pPr>
  </w:style>
  <w:style w:type="paragraph" w:styleId="Besedilooblaka">
    <w:name w:val="Balloon Text"/>
    <w:basedOn w:val="Navaden"/>
    <w:link w:val="BesedilooblakaZnak"/>
    <w:uiPriority w:val="99"/>
    <w:semiHidden/>
    <w:unhideWhenUsed/>
    <w:rsid w:val="009355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5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E759-F46C-408A-9301-3A032607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2093</Words>
  <Characters>11931</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Sabina</cp:lastModifiedBy>
  <cp:revision>9</cp:revision>
  <cp:lastPrinted>2015-02-27T06:45:00Z</cp:lastPrinted>
  <dcterms:created xsi:type="dcterms:W3CDTF">2015-02-25T14:58:00Z</dcterms:created>
  <dcterms:modified xsi:type="dcterms:W3CDTF">2015-02-27T06:59:00Z</dcterms:modified>
</cp:coreProperties>
</file>