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28" w:rsidRPr="00125589" w:rsidRDefault="00C621D5" w:rsidP="000E4E5B">
      <w:pPr>
        <w:pStyle w:val="Glava"/>
      </w:pPr>
      <w:bookmarkStart w:id="0" w:name="_GoBack"/>
      <w:bookmarkEnd w:id="0"/>
      <w:r w:rsidRPr="00125589">
        <w:rPr>
          <w:noProof/>
        </w:rPr>
        <w:drawing>
          <wp:inline distT="0" distB="0" distL="0" distR="0">
            <wp:extent cx="876300" cy="1003300"/>
            <wp:effectExtent l="0" t="0" r="0" b="6350"/>
            <wp:docPr id="1" name="Slika 1"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kl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03300"/>
                    </a:xfrm>
                    <a:prstGeom prst="rect">
                      <a:avLst/>
                    </a:prstGeom>
                    <a:noFill/>
                    <a:ln>
                      <a:noFill/>
                    </a:ln>
                  </pic:spPr>
                </pic:pic>
              </a:graphicData>
            </a:graphic>
          </wp:inline>
        </w:drawing>
      </w:r>
    </w:p>
    <w:p w:rsidR="00D70728" w:rsidRPr="00125589" w:rsidRDefault="00D70728" w:rsidP="000E4E5B">
      <w:bookmarkStart w:id="1" w:name="_Toc161480544"/>
      <w:r w:rsidRPr="00125589">
        <w:t>OBČINA  CERKLJE na Gorenjskem</w:t>
      </w:r>
      <w:bookmarkEnd w:id="1"/>
    </w:p>
    <w:p w:rsidR="00D70728" w:rsidRPr="00D91653" w:rsidRDefault="00D70728" w:rsidP="000E4E5B">
      <w:pPr>
        <w:rPr>
          <w:sz w:val="24"/>
          <w:szCs w:val="24"/>
        </w:rPr>
      </w:pPr>
      <w:r w:rsidRPr="00D91653">
        <w:rPr>
          <w:sz w:val="24"/>
          <w:szCs w:val="24"/>
        </w:rPr>
        <w:t>Trga Davorina Jenka 13</w:t>
      </w:r>
    </w:p>
    <w:p w:rsidR="00D70728" w:rsidRPr="00D91653" w:rsidRDefault="00D70728" w:rsidP="000E4E5B">
      <w:pPr>
        <w:rPr>
          <w:sz w:val="24"/>
          <w:szCs w:val="24"/>
        </w:rPr>
      </w:pPr>
      <w:bookmarkStart w:id="2" w:name="_Toc161480545"/>
      <w:r w:rsidRPr="00D91653">
        <w:rPr>
          <w:sz w:val="24"/>
          <w:szCs w:val="24"/>
        </w:rPr>
        <w:t>4207 CERKLJE NA GORENJSKEM</w:t>
      </w:r>
      <w:bookmarkEnd w:id="2"/>
    </w:p>
    <w:p w:rsidR="00FD2C07" w:rsidRPr="00D91653" w:rsidRDefault="00D70728" w:rsidP="00D91653">
      <w:pPr>
        <w:rPr>
          <w:sz w:val="24"/>
          <w:szCs w:val="24"/>
        </w:rPr>
      </w:pPr>
      <w:r w:rsidRPr="00D91653">
        <w:rPr>
          <w:sz w:val="24"/>
          <w:szCs w:val="24"/>
        </w:rPr>
        <w:t>e-mail:</w:t>
      </w:r>
      <w:r w:rsidR="006A3A02" w:rsidRPr="00D91653">
        <w:rPr>
          <w:sz w:val="24"/>
          <w:szCs w:val="24"/>
        </w:rPr>
        <w:t xml:space="preserve"> </w:t>
      </w:r>
      <w:r w:rsidRPr="00D91653">
        <w:rPr>
          <w:sz w:val="24"/>
          <w:szCs w:val="24"/>
        </w:rPr>
        <w:t>obcinacerklje@siol.net</w:t>
      </w:r>
    </w:p>
    <w:p w:rsidR="00FD2C07" w:rsidRPr="00D91653" w:rsidRDefault="00FD2C07" w:rsidP="000E4E5B">
      <w:pPr>
        <w:pStyle w:val="Glava"/>
        <w:rPr>
          <w:sz w:val="24"/>
          <w:szCs w:val="24"/>
        </w:rPr>
      </w:pPr>
    </w:p>
    <w:p w:rsidR="00D70728" w:rsidRPr="00D91653" w:rsidRDefault="00D70728" w:rsidP="000E4E5B">
      <w:pPr>
        <w:pStyle w:val="Glava"/>
        <w:rPr>
          <w:sz w:val="24"/>
          <w:szCs w:val="24"/>
        </w:rPr>
      </w:pPr>
      <w:r w:rsidRPr="00D91653">
        <w:rPr>
          <w:sz w:val="24"/>
          <w:szCs w:val="24"/>
        </w:rPr>
        <w:t xml:space="preserve">Številka: </w:t>
      </w:r>
      <w:r w:rsidR="00C13C4A" w:rsidRPr="00D91653">
        <w:rPr>
          <w:sz w:val="24"/>
          <w:szCs w:val="24"/>
        </w:rPr>
        <w:t>032-0</w:t>
      </w:r>
      <w:r w:rsidR="006E448D" w:rsidRPr="00D91653">
        <w:rPr>
          <w:sz w:val="24"/>
          <w:szCs w:val="24"/>
        </w:rPr>
        <w:t>4/2014-</w:t>
      </w:r>
      <w:r w:rsidR="00437886" w:rsidRPr="00D91653">
        <w:rPr>
          <w:sz w:val="24"/>
          <w:szCs w:val="24"/>
        </w:rPr>
        <w:t>325</w:t>
      </w:r>
    </w:p>
    <w:p w:rsidR="00125589" w:rsidRPr="00D91653" w:rsidRDefault="00D70728" w:rsidP="000E4E5B">
      <w:pPr>
        <w:pStyle w:val="Glava"/>
        <w:rPr>
          <w:sz w:val="24"/>
          <w:szCs w:val="24"/>
        </w:rPr>
      </w:pPr>
      <w:r w:rsidRPr="00D91653">
        <w:rPr>
          <w:sz w:val="24"/>
          <w:szCs w:val="24"/>
        </w:rPr>
        <w:t>Datum</w:t>
      </w:r>
      <w:r w:rsidR="001E6CD3" w:rsidRPr="00D91653">
        <w:rPr>
          <w:sz w:val="24"/>
          <w:szCs w:val="24"/>
        </w:rPr>
        <w:t xml:space="preserve">: </w:t>
      </w:r>
      <w:r w:rsidR="00883E58">
        <w:rPr>
          <w:sz w:val="24"/>
          <w:szCs w:val="24"/>
        </w:rPr>
        <w:t>26.05</w:t>
      </w:r>
      <w:r w:rsidR="00437886" w:rsidRPr="00D91653">
        <w:rPr>
          <w:sz w:val="24"/>
          <w:szCs w:val="24"/>
        </w:rPr>
        <w:t>.2017</w:t>
      </w:r>
    </w:p>
    <w:p w:rsidR="00D70728" w:rsidRPr="00D91653" w:rsidRDefault="00D70728" w:rsidP="000E4E5B">
      <w:pPr>
        <w:pStyle w:val="Glava"/>
        <w:rPr>
          <w:sz w:val="24"/>
          <w:szCs w:val="24"/>
        </w:rPr>
      </w:pPr>
    </w:p>
    <w:p w:rsidR="00D70728" w:rsidRPr="00D91653" w:rsidRDefault="00D70728" w:rsidP="000E4E5B">
      <w:pPr>
        <w:pStyle w:val="Glava"/>
        <w:rPr>
          <w:sz w:val="24"/>
          <w:szCs w:val="24"/>
        </w:rPr>
      </w:pPr>
      <w:r w:rsidRPr="00D91653">
        <w:rPr>
          <w:sz w:val="24"/>
          <w:szCs w:val="24"/>
        </w:rPr>
        <w:t>OBČINSKI SVET</w:t>
      </w:r>
    </w:p>
    <w:p w:rsidR="00D70728" w:rsidRPr="00D91653" w:rsidRDefault="00D70728" w:rsidP="000E4E5B">
      <w:pPr>
        <w:pStyle w:val="Glava"/>
        <w:rPr>
          <w:sz w:val="24"/>
          <w:szCs w:val="24"/>
        </w:rPr>
      </w:pPr>
      <w:r w:rsidRPr="00D91653">
        <w:rPr>
          <w:sz w:val="24"/>
          <w:szCs w:val="24"/>
        </w:rPr>
        <w:t>OBČINE CERKLJE NA GORENJSKEM</w:t>
      </w:r>
    </w:p>
    <w:p w:rsidR="00D70728" w:rsidRPr="00D91653" w:rsidRDefault="00D70728" w:rsidP="000E4E5B">
      <w:pPr>
        <w:pStyle w:val="Glava"/>
        <w:rPr>
          <w:sz w:val="24"/>
          <w:szCs w:val="24"/>
        </w:rPr>
      </w:pPr>
    </w:p>
    <w:p w:rsidR="00D70728" w:rsidRPr="00D91653" w:rsidRDefault="00D70728" w:rsidP="000E4E5B">
      <w:pPr>
        <w:pStyle w:val="Glava"/>
        <w:rPr>
          <w:sz w:val="24"/>
          <w:szCs w:val="24"/>
        </w:rPr>
      </w:pPr>
    </w:p>
    <w:p w:rsidR="00125589" w:rsidRPr="00D91653" w:rsidRDefault="00125589" w:rsidP="000E4E5B">
      <w:pPr>
        <w:pStyle w:val="Glava"/>
        <w:rPr>
          <w:sz w:val="24"/>
          <w:szCs w:val="24"/>
        </w:rPr>
      </w:pPr>
    </w:p>
    <w:p w:rsidR="00125589" w:rsidRPr="00D91653" w:rsidRDefault="00125589" w:rsidP="000E4E5B">
      <w:pPr>
        <w:pStyle w:val="Glava"/>
        <w:rPr>
          <w:sz w:val="24"/>
          <w:szCs w:val="24"/>
        </w:rPr>
      </w:pPr>
    </w:p>
    <w:p w:rsidR="00125589" w:rsidRPr="00D91653" w:rsidRDefault="00125589" w:rsidP="000E4E5B">
      <w:pPr>
        <w:pStyle w:val="Glava"/>
        <w:rPr>
          <w:sz w:val="24"/>
          <w:szCs w:val="24"/>
        </w:rPr>
      </w:pPr>
    </w:p>
    <w:p w:rsidR="00125589" w:rsidRPr="00D91653" w:rsidRDefault="00125589" w:rsidP="000E4E5B">
      <w:pPr>
        <w:pStyle w:val="Glava"/>
        <w:rPr>
          <w:sz w:val="24"/>
          <w:szCs w:val="24"/>
        </w:rPr>
      </w:pPr>
    </w:p>
    <w:p w:rsidR="00125589" w:rsidRPr="00D91653" w:rsidRDefault="00125589" w:rsidP="000E4E5B">
      <w:pPr>
        <w:pStyle w:val="Glava"/>
        <w:rPr>
          <w:sz w:val="24"/>
          <w:szCs w:val="24"/>
        </w:rPr>
      </w:pPr>
    </w:p>
    <w:p w:rsidR="000D142B" w:rsidRPr="00D91653" w:rsidRDefault="000C32A5" w:rsidP="00D04BFF">
      <w:pPr>
        <w:pStyle w:val="Telobesedila"/>
        <w:numPr>
          <w:ilvl w:val="0"/>
          <w:numId w:val="31"/>
        </w:numPr>
        <w:jc w:val="center"/>
        <w:rPr>
          <w:sz w:val="24"/>
          <w:szCs w:val="24"/>
        </w:rPr>
      </w:pPr>
      <w:bookmarkStart w:id="3" w:name="_Toc161480546"/>
      <w:r w:rsidRPr="00D91653">
        <w:rPr>
          <w:sz w:val="24"/>
          <w:szCs w:val="24"/>
        </w:rPr>
        <w:t>REBALANS</w:t>
      </w:r>
      <w:r w:rsidR="00D04BFF" w:rsidRPr="00D91653">
        <w:rPr>
          <w:sz w:val="24"/>
          <w:szCs w:val="24"/>
        </w:rPr>
        <w:t xml:space="preserve"> </w:t>
      </w:r>
      <w:r w:rsidR="00D70728" w:rsidRPr="00D91653">
        <w:rPr>
          <w:sz w:val="24"/>
          <w:szCs w:val="24"/>
        </w:rPr>
        <w:t xml:space="preserve"> PRORAČUNA</w:t>
      </w:r>
      <w:r w:rsidR="00955F2F" w:rsidRPr="00D91653">
        <w:rPr>
          <w:sz w:val="24"/>
          <w:szCs w:val="24"/>
        </w:rPr>
        <w:t xml:space="preserve"> </w:t>
      </w:r>
    </w:p>
    <w:p w:rsidR="000D142B" w:rsidRPr="00D91653" w:rsidRDefault="00955F2F" w:rsidP="000C5D0F">
      <w:pPr>
        <w:pStyle w:val="Telobesedila"/>
        <w:jc w:val="center"/>
        <w:rPr>
          <w:sz w:val="24"/>
          <w:szCs w:val="24"/>
        </w:rPr>
      </w:pPr>
      <w:r w:rsidRPr="00D91653">
        <w:rPr>
          <w:sz w:val="24"/>
          <w:szCs w:val="24"/>
        </w:rPr>
        <w:t xml:space="preserve">OBČINE </w:t>
      </w:r>
    </w:p>
    <w:p w:rsidR="00955F2F" w:rsidRPr="00D91653" w:rsidRDefault="00955F2F" w:rsidP="000C5D0F">
      <w:pPr>
        <w:pStyle w:val="Telobesedila"/>
        <w:jc w:val="center"/>
        <w:rPr>
          <w:sz w:val="24"/>
          <w:szCs w:val="24"/>
        </w:rPr>
      </w:pPr>
      <w:r w:rsidRPr="00D91653">
        <w:rPr>
          <w:sz w:val="24"/>
          <w:szCs w:val="24"/>
        </w:rPr>
        <w:t>CERKLJE NA GORENJSKEM</w:t>
      </w:r>
    </w:p>
    <w:p w:rsidR="00C20FE9" w:rsidRPr="00D91653" w:rsidRDefault="00D70728" w:rsidP="000C5D0F">
      <w:pPr>
        <w:pStyle w:val="Telobesedila"/>
        <w:jc w:val="center"/>
        <w:rPr>
          <w:sz w:val="24"/>
          <w:szCs w:val="24"/>
        </w:rPr>
      </w:pPr>
      <w:r w:rsidRPr="00D91653">
        <w:rPr>
          <w:sz w:val="24"/>
          <w:szCs w:val="24"/>
        </w:rPr>
        <w:t xml:space="preserve"> ZA LETO </w:t>
      </w:r>
      <w:bookmarkEnd w:id="3"/>
      <w:r w:rsidR="00437886" w:rsidRPr="00D91653">
        <w:rPr>
          <w:sz w:val="24"/>
          <w:szCs w:val="24"/>
        </w:rPr>
        <w:t>2017</w:t>
      </w:r>
    </w:p>
    <w:p w:rsidR="00FD2C07" w:rsidRPr="00D91653" w:rsidRDefault="00FD2C07" w:rsidP="000E4E5B">
      <w:pPr>
        <w:pStyle w:val="Glava"/>
        <w:rPr>
          <w:sz w:val="24"/>
          <w:szCs w:val="24"/>
        </w:rPr>
      </w:pPr>
      <w:bookmarkStart w:id="4" w:name="_Toc161480547"/>
    </w:p>
    <w:p w:rsidR="00FD2C07" w:rsidRPr="00D91653" w:rsidRDefault="00FD2C07" w:rsidP="000E4E5B">
      <w:pPr>
        <w:pStyle w:val="Glava"/>
        <w:rPr>
          <w:sz w:val="24"/>
          <w:szCs w:val="24"/>
        </w:rPr>
      </w:pPr>
    </w:p>
    <w:p w:rsidR="00FD2C07" w:rsidRPr="00D91653" w:rsidRDefault="00FD2C07" w:rsidP="000E4E5B">
      <w:pPr>
        <w:pStyle w:val="Glava"/>
        <w:rPr>
          <w:sz w:val="24"/>
          <w:szCs w:val="24"/>
        </w:rPr>
      </w:pPr>
    </w:p>
    <w:p w:rsidR="00FD2C07" w:rsidRPr="00D91653" w:rsidRDefault="00FD2C07" w:rsidP="000E4E5B">
      <w:pPr>
        <w:pStyle w:val="Glava"/>
        <w:rPr>
          <w:sz w:val="24"/>
          <w:szCs w:val="24"/>
        </w:rPr>
      </w:pPr>
    </w:p>
    <w:p w:rsidR="00FD2C07" w:rsidRPr="00D91653" w:rsidRDefault="00FD2C07" w:rsidP="000E4E5B">
      <w:pPr>
        <w:pStyle w:val="Glava"/>
        <w:rPr>
          <w:sz w:val="24"/>
          <w:szCs w:val="24"/>
        </w:rPr>
      </w:pPr>
    </w:p>
    <w:p w:rsidR="00FD2C07" w:rsidRPr="00D91653" w:rsidRDefault="00FD2C07" w:rsidP="000E4E5B">
      <w:pPr>
        <w:pStyle w:val="Glava"/>
        <w:rPr>
          <w:sz w:val="24"/>
          <w:szCs w:val="24"/>
        </w:rPr>
      </w:pPr>
    </w:p>
    <w:p w:rsidR="00FD2C07" w:rsidRPr="00D91653" w:rsidRDefault="00FD2C07" w:rsidP="000E4E5B">
      <w:pPr>
        <w:pStyle w:val="Glava"/>
        <w:rPr>
          <w:sz w:val="24"/>
          <w:szCs w:val="24"/>
        </w:rPr>
      </w:pPr>
    </w:p>
    <w:p w:rsidR="00FD2C07" w:rsidRPr="00D91653" w:rsidRDefault="00FD2C07" w:rsidP="000E4E5B">
      <w:pPr>
        <w:pStyle w:val="Glava"/>
        <w:rPr>
          <w:sz w:val="24"/>
          <w:szCs w:val="24"/>
        </w:rPr>
      </w:pPr>
    </w:p>
    <w:p w:rsidR="00FD2C07" w:rsidRPr="00D91653" w:rsidRDefault="00FD2C07" w:rsidP="000E4E5B">
      <w:pPr>
        <w:pStyle w:val="Glava"/>
        <w:rPr>
          <w:sz w:val="24"/>
          <w:szCs w:val="24"/>
        </w:rPr>
      </w:pPr>
    </w:p>
    <w:p w:rsidR="00EE02FE" w:rsidRPr="00D91653" w:rsidRDefault="00EE02FE" w:rsidP="000E4E5B">
      <w:pPr>
        <w:pStyle w:val="Glava"/>
        <w:rPr>
          <w:sz w:val="24"/>
          <w:szCs w:val="24"/>
        </w:rPr>
      </w:pPr>
    </w:p>
    <w:p w:rsidR="00EE02FE" w:rsidRDefault="00EE02FE" w:rsidP="000E4E5B">
      <w:pPr>
        <w:pStyle w:val="Glava"/>
        <w:rPr>
          <w:sz w:val="24"/>
          <w:szCs w:val="24"/>
        </w:rPr>
      </w:pPr>
    </w:p>
    <w:p w:rsidR="00D91653" w:rsidRDefault="00D91653" w:rsidP="000E4E5B">
      <w:pPr>
        <w:pStyle w:val="Glava"/>
        <w:rPr>
          <w:sz w:val="24"/>
          <w:szCs w:val="24"/>
        </w:rPr>
      </w:pPr>
    </w:p>
    <w:p w:rsidR="00D91653" w:rsidRDefault="00D91653" w:rsidP="000E4E5B">
      <w:pPr>
        <w:pStyle w:val="Glava"/>
        <w:rPr>
          <w:sz w:val="24"/>
          <w:szCs w:val="24"/>
        </w:rPr>
      </w:pPr>
    </w:p>
    <w:p w:rsidR="00D91653" w:rsidRDefault="00D91653" w:rsidP="000E4E5B">
      <w:pPr>
        <w:pStyle w:val="Glava"/>
        <w:rPr>
          <w:sz w:val="24"/>
          <w:szCs w:val="24"/>
        </w:rPr>
      </w:pPr>
    </w:p>
    <w:p w:rsidR="00D91653" w:rsidRDefault="00D91653" w:rsidP="000E4E5B">
      <w:pPr>
        <w:pStyle w:val="Glava"/>
        <w:rPr>
          <w:sz w:val="24"/>
          <w:szCs w:val="24"/>
        </w:rPr>
      </w:pPr>
    </w:p>
    <w:p w:rsidR="00D91653" w:rsidRDefault="00D91653" w:rsidP="000E4E5B">
      <w:pPr>
        <w:pStyle w:val="Glava"/>
        <w:rPr>
          <w:sz w:val="24"/>
          <w:szCs w:val="24"/>
        </w:rPr>
      </w:pPr>
    </w:p>
    <w:p w:rsidR="00D91653" w:rsidRPr="00D91653" w:rsidRDefault="00D91653" w:rsidP="000E4E5B">
      <w:pPr>
        <w:pStyle w:val="Glava"/>
        <w:rPr>
          <w:sz w:val="24"/>
          <w:szCs w:val="24"/>
        </w:rPr>
      </w:pPr>
    </w:p>
    <w:p w:rsidR="00FD2C07" w:rsidRPr="00D91653" w:rsidRDefault="00FD2C07" w:rsidP="000E4E5B">
      <w:pPr>
        <w:pStyle w:val="Glava"/>
        <w:rPr>
          <w:sz w:val="24"/>
          <w:szCs w:val="24"/>
        </w:rPr>
      </w:pPr>
    </w:p>
    <w:p w:rsidR="00EE02FE" w:rsidRPr="00D91653" w:rsidRDefault="00EE02FE" w:rsidP="000E4E5B">
      <w:pPr>
        <w:pStyle w:val="Glava"/>
        <w:rPr>
          <w:sz w:val="24"/>
          <w:szCs w:val="24"/>
        </w:rPr>
      </w:pPr>
    </w:p>
    <w:p w:rsidR="002B624A" w:rsidRPr="00D91653" w:rsidRDefault="002B624A" w:rsidP="002B624A">
      <w:pPr>
        <w:pStyle w:val="Glava"/>
        <w:rPr>
          <w:sz w:val="24"/>
          <w:szCs w:val="24"/>
        </w:rPr>
      </w:pPr>
      <w:r w:rsidRPr="00D91653">
        <w:rPr>
          <w:sz w:val="24"/>
          <w:szCs w:val="24"/>
        </w:rPr>
        <w:t>Predlagatelj:</w:t>
      </w:r>
    </w:p>
    <w:p w:rsidR="002B624A" w:rsidRPr="00D91653" w:rsidRDefault="002B624A" w:rsidP="002B624A">
      <w:pPr>
        <w:pStyle w:val="Glava"/>
        <w:rPr>
          <w:sz w:val="24"/>
          <w:szCs w:val="24"/>
        </w:rPr>
      </w:pPr>
      <w:r w:rsidRPr="00D91653">
        <w:rPr>
          <w:sz w:val="24"/>
          <w:szCs w:val="24"/>
        </w:rPr>
        <w:t>Župan Franc Čebulj</w:t>
      </w:r>
    </w:p>
    <w:bookmarkEnd w:id="4"/>
    <w:p w:rsidR="00BB6FE6" w:rsidRDefault="00BB6FE6" w:rsidP="00A33402">
      <w:pPr>
        <w:pStyle w:val="Kazalovsebine1"/>
        <w:rPr>
          <w:sz w:val="24"/>
          <w:szCs w:val="24"/>
        </w:rPr>
      </w:pPr>
    </w:p>
    <w:p w:rsidR="00BB6FE6" w:rsidRDefault="00BB6FE6" w:rsidP="00A33402">
      <w:pPr>
        <w:pStyle w:val="Kazalovsebine1"/>
        <w:rPr>
          <w:sz w:val="24"/>
          <w:szCs w:val="24"/>
        </w:rPr>
      </w:pPr>
    </w:p>
    <w:p w:rsidR="000E4E5B" w:rsidRPr="004441DA" w:rsidRDefault="000E4E5B" w:rsidP="00A33402">
      <w:pPr>
        <w:pStyle w:val="Kazalovsebine1"/>
        <w:rPr>
          <w:sz w:val="22"/>
          <w:szCs w:val="22"/>
        </w:rPr>
      </w:pPr>
      <w:r w:rsidRPr="004441DA">
        <w:rPr>
          <w:sz w:val="22"/>
          <w:szCs w:val="22"/>
        </w:rPr>
        <w:lastRenderedPageBreak/>
        <w:t>KAZALO</w:t>
      </w:r>
    </w:p>
    <w:p w:rsidR="00407D81" w:rsidRPr="004441DA" w:rsidRDefault="00407D81" w:rsidP="00407D81">
      <w:pPr>
        <w:rPr>
          <w:sz w:val="22"/>
          <w:szCs w:val="22"/>
        </w:rPr>
      </w:pPr>
    </w:p>
    <w:p w:rsidR="0082228F" w:rsidRPr="00BD3AB1" w:rsidRDefault="00CF7048">
      <w:pPr>
        <w:pStyle w:val="Kazalovsebine1"/>
        <w:rPr>
          <w:rFonts w:ascii="Calibri" w:hAnsi="Calibri"/>
          <w:b w:val="0"/>
          <w:noProof/>
          <w:sz w:val="22"/>
          <w:szCs w:val="22"/>
        </w:rPr>
      </w:pPr>
      <w:r w:rsidRPr="0082228F">
        <w:rPr>
          <w:b w:val="0"/>
          <w:sz w:val="22"/>
          <w:szCs w:val="22"/>
        </w:rPr>
        <w:fldChar w:fldCharType="begin"/>
      </w:r>
      <w:r w:rsidRPr="0082228F">
        <w:rPr>
          <w:b w:val="0"/>
          <w:sz w:val="22"/>
          <w:szCs w:val="22"/>
        </w:rPr>
        <w:instrText xml:space="preserve"> TOC \o "1-3" \h \z \u </w:instrText>
      </w:r>
      <w:r w:rsidRPr="0082228F">
        <w:rPr>
          <w:b w:val="0"/>
          <w:sz w:val="22"/>
          <w:szCs w:val="22"/>
        </w:rPr>
        <w:fldChar w:fldCharType="separate"/>
      </w:r>
      <w:hyperlink w:anchor="_Toc484687244" w:history="1">
        <w:r w:rsidR="0082228F" w:rsidRPr="0082228F">
          <w:rPr>
            <w:rStyle w:val="Hiperpovezava"/>
            <w:noProof/>
            <w:sz w:val="22"/>
            <w:szCs w:val="22"/>
          </w:rPr>
          <w:t>UVOD</w:t>
        </w:r>
        <w:r w:rsidR="0082228F" w:rsidRPr="0082228F">
          <w:rPr>
            <w:noProof/>
            <w:webHidden/>
            <w:sz w:val="22"/>
            <w:szCs w:val="22"/>
          </w:rPr>
          <w:tab/>
        </w:r>
        <w:r w:rsidR="0082228F" w:rsidRPr="0082228F">
          <w:rPr>
            <w:noProof/>
            <w:webHidden/>
            <w:sz w:val="22"/>
            <w:szCs w:val="22"/>
          </w:rPr>
          <w:fldChar w:fldCharType="begin"/>
        </w:r>
        <w:r w:rsidR="0082228F" w:rsidRPr="0082228F">
          <w:rPr>
            <w:noProof/>
            <w:webHidden/>
            <w:sz w:val="22"/>
            <w:szCs w:val="22"/>
          </w:rPr>
          <w:instrText xml:space="preserve"> PAGEREF _Toc484687244 \h </w:instrText>
        </w:r>
        <w:r w:rsidR="0082228F" w:rsidRPr="0082228F">
          <w:rPr>
            <w:noProof/>
            <w:webHidden/>
            <w:sz w:val="22"/>
            <w:szCs w:val="22"/>
          </w:rPr>
        </w:r>
        <w:r w:rsidR="0082228F" w:rsidRPr="0082228F">
          <w:rPr>
            <w:noProof/>
            <w:webHidden/>
            <w:sz w:val="22"/>
            <w:szCs w:val="22"/>
          </w:rPr>
          <w:fldChar w:fldCharType="separate"/>
        </w:r>
        <w:r w:rsidR="00C76CFF">
          <w:rPr>
            <w:noProof/>
            <w:webHidden/>
            <w:sz w:val="22"/>
            <w:szCs w:val="22"/>
          </w:rPr>
          <w:t>3</w:t>
        </w:r>
        <w:r w:rsidR="0082228F" w:rsidRPr="0082228F">
          <w:rPr>
            <w:noProof/>
            <w:webHidden/>
            <w:sz w:val="22"/>
            <w:szCs w:val="22"/>
          </w:rPr>
          <w:fldChar w:fldCharType="end"/>
        </w:r>
      </w:hyperlink>
    </w:p>
    <w:p w:rsidR="0082228F" w:rsidRPr="00BD3AB1" w:rsidRDefault="0082228F">
      <w:pPr>
        <w:pStyle w:val="Kazalovsebine1"/>
        <w:rPr>
          <w:rFonts w:ascii="Calibri" w:hAnsi="Calibri"/>
          <w:b w:val="0"/>
          <w:noProof/>
          <w:sz w:val="22"/>
          <w:szCs w:val="22"/>
        </w:rPr>
      </w:pPr>
      <w:hyperlink w:anchor="_Toc484687245" w:history="1">
        <w:r w:rsidRPr="0082228F">
          <w:rPr>
            <w:rStyle w:val="Hiperpovezava"/>
            <w:noProof/>
            <w:sz w:val="22"/>
            <w:szCs w:val="22"/>
          </w:rPr>
          <w:t>SPLOŠNI DEL PRORAČUNA</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_Toc484687245 \h </w:instrText>
        </w:r>
        <w:r w:rsidRPr="0082228F">
          <w:rPr>
            <w:noProof/>
            <w:webHidden/>
            <w:sz w:val="22"/>
            <w:szCs w:val="22"/>
          </w:rPr>
        </w:r>
        <w:r w:rsidRPr="0082228F">
          <w:rPr>
            <w:noProof/>
            <w:webHidden/>
            <w:sz w:val="22"/>
            <w:szCs w:val="22"/>
          </w:rPr>
          <w:fldChar w:fldCharType="separate"/>
        </w:r>
        <w:r w:rsidR="00C76CFF">
          <w:rPr>
            <w:noProof/>
            <w:webHidden/>
            <w:sz w:val="22"/>
            <w:szCs w:val="22"/>
          </w:rPr>
          <w:t>3</w:t>
        </w:r>
        <w:r w:rsidRPr="0082228F">
          <w:rPr>
            <w:noProof/>
            <w:webHidden/>
            <w:sz w:val="22"/>
            <w:szCs w:val="22"/>
          </w:rPr>
          <w:fldChar w:fldCharType="end"/>
        </w:r>
      </w:hyperlink>
    </w:p>
    <w:p w:rsidR="0082228F" w:rsidRPr="00BD3AB1" w:rsidRDefault="0082228F">
      <w:pPr>
        <w:pStyle w:val="Kazalovsebine2"/>
        <w:tabs>
          <w:tab w:val="right" w:leader="dot" w:pos="9060"/>
        </w:tabs>
        <w:rPr>
          <w:rFonts w:ascii="Calibri" w:hAnsi="Calibri"/>
          <w:noProof/>
          <w:sz w:val="22"/>
          <w:szCs w:val="22"/>
        </w:rPr>
      </w:pPr>
      <w:hyperlink w:anchor="_Toc484687246" w:history="1">
        <w:r w:rsidRPr="0082228F">
          <w:rPr>
            <w:rStyle w:val="Hiperpovezava"/>
            <w:noProof/>
            <w:sz w:val="22"/>
            <w:szCs w:val="22"/>
          </w:rPr>
          <w:t>PRIHODKI PRORAČUNA</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_Toc484687246 \h </w:instrText>
        </w:r>
        <w:r w:rsidRPr="0082228F">
          <w:rPr>
            <w:noProof/>
            <w:webHidden/>
            <w:sz w:val="22"/>
            <w:szCs w:val="22"/>
          </w:rPr>
        </w:r>
        <w:r w:rsidRPr="0082228F">
          <w:rPr>
            <w:noProof/>
            <w:webHidden/>
            <w:sz w:val="22"/>
            <w:szCs w:val="22"/>
          </w:rPr>
          <w:fldChar w:fldCharType="separate"/>
        </w:r>
        <w:r w:rsidR="00C76CFF">
          <w:rPr>
            <w:noProof/>
            <w:webHidden/>
            <w:sz w:val="22"/>
            <w:szCs w:val="22"/>
          </w:rPr>
          <w:t>4</w:t>
        </w:r>
        <w:r w:rsidRPr="0082228F">
          <w:rPr>
            <w:noProof/>
            <w:webHidden/>
            <w:sz w:val="22"/>
            <w:szCs w:val="22"/>
          </w:rPr>
          <w:fldChar w:fldCharType="end"/>
        </w:r>
      </w:hyperlink>
    </w:p>
    <w:p w:rsidR="0082228F" w:rsidRPr="00BD3AB1" w:rsidRDefault="0082228F">
      <w:pPr>
        <w:pStyle w:val="Kazalovsebine2"/>
        <w:tabs>
          <w:tab w:val="right" w:leader="dot" w:pos="9060"/>
        </w:tabs>
        <w:rPr>
          <w:rFonts w:ascii="Calibri" w:hAnsi="Calibri"/>
          <w:noProof/>
          <w:sz w:val="22"/>
          <w:szCs w:val="22"/>
        </w:rPr>
      </w:pPr>
      <w:hyperlink w:anchor="_Toc484687247" w:history="1">
        <w:r w:rsidRPr="0082228F">
          <w:rPr>
            <w:rStyle w:val="Hiperpovezava"/>
            <w:noProof/>
            <w:sz w:val="22"/>
            <w:szCs w:val="22"/>
          </w:rPr>
          <w:t>ODHODKI PRORAČUNA</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_Toc484687247 \h </w:instrText>
        </w:r>
        <w:r w:rsidRPr="0082228F">
          <w:rPr>
            <w:noProof/>
            <w:webHidden/>
            <w:sz w:val="22"/>
            <w:szCs w:val="22"/>
          </w:rPr>
        </w:r>
        <w:r w:rsidRPr="0082228F">
          <w:rPr>
            <w:noProof/>
            <w:webHidden/>
            <w:sz w:val="22"/>
            <w:szCs w:val="22"/>
          </w:rPr>
          <w:fldChar w:fldCharType="separate"/>
        </w:r>
        <w:r w:rsidR="00C76CFF">
          <w:rPr>
            <w:noProof/>
            <w:webHidden/>
            <w:sz w:val="22"/>
            <w:szCs w:val="22"/>
          </w:rPr>
          <w:t>4</w:t>
        </w:r>
        <w:r w:rsidRPr="0082228F">
          <w:rPr>
            <w:noProof/>
            <w:webHidden/>
            <w:sz w:val="22"/>
            <w:szCs w:val="22"/>
          </w:rPr>
          <w:fldChar w:fldCharType="end"/>
        </w:r>
      </w:hyperlink>
    </w:p>
    <w:p w:rsidR="0082228F" w:rsidRPr="00BD3AB1" w:rsidRDefault="0082228F">
      <w:pPr>
        <w:pStyle w:val="Kazalovsebine2"/>
        <w:tabs>
          <w:tab w:val="right" w:leader="dot" w:pos="9060"/>
        </w:tabs>
        <w:rPr>
          <w:rFonts w:ascii="Calibri" w:hAnsi="Calibri"/>
          <w:noProof/>
          <w:sz w:val="22"/>
          <w:szCs w:val="22"/>
        </w:rPr>
      </w:pPr>
      <w:hyperlink w:anchor="_Toc484687248" w:history="1">
        <w:r w:rsidRPr="0082228F">
          <w:rPr>
            <w:rStyle w:val="Hiperpovezava"/>
            <w:noProof/>
            <w:sz w:val="22"/>
            <w:szCs w:val="22"/>
          </w:rPr>
          <w:t>RAČUN FINANČNIH TERJATEV IN NALOŽB</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_Toc484687248 \h </w:instrText>
        </w:r>
        <w:r w:rsidRPr="0082228F">
          <w:rPr>
            <w:noProof/>
            <w:webHidden/>
            <w:sz w:val="22"/>
            <w:szCs w:val="22"/>
          </w:rPr>
        </w:r>
        <w:r w:rsidRPr="0082228F">
          <w:rPr>
            <w:noProof/>
            <w:webHidden/>
            <w:sz w:val="22"/>
            <w:szCs w:val="22"/>
          </w:rPr>
          <w:fldChar w:fldCharType="separate"/>
        </w:r>
        <w:r w:rsidR="00C76CFF">
          <w:rPr>
            <w:noProof/>
            <w:webHidden/>
            <w:sz w:val="22"/>
            <w:szCs w:val="22"/>
          </w:rPr>
          <w:t>5</w:t>
        </w:r>
        <w:r w:rsidRPr="0082228F">
          <w:rPr>
            <w:noProof/>
            <w:webHidden/>
            <w:sz w:val="22"/>
            <w:szCs w:val="22"/>
          </w:rPr>
          <w:fldChar w:fldCharType="end"/>
        </w:r>
      </w:hyperlink>
    </w:p>
    <w:p w:rsidR="0082228F" w:rsidRPr="00BD3AB1" w:rsidRDefault="0082228F">
      <w:pPr>
        <w:pStyle w:val="Kazalovsebine2"/>
        <w:tabs>
          <w:tab w:val="right" w:leader="dot" w:pos="9060"/>
        </w:tabs>
        <w:rPr>
          <w:rFonts w:ascii="Calibri" w:hAnsi="Calibri"/>
          <w:noProof/>
          <w:sz w:val="22"/>
          <w:szCs w:val="22"/>
        </w:rPr>
      </w:pPr>
      <w:hyperlink w:anchor="_Toc484687249" w:history="1">
        <w:r w:rsidRPr="0082228F">
          <w:rPr>
            <w:rStyle w:val="Hiperpovezava"/>
            <w:noProof/>
            <w:sz w:val="22"/>
            <w:szCs w:val="22"/>
          </w:rPr>
          <w:t>RAČUN FINANCIRANJA</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_Toc484687249 \h </w:instrText>
        </w:r>
        <w:r w:rsidRPr="0082228F">
          <w:rPr>
            <w:noProof/>
            <w:webHidden/>
            <w:sz w:val="22"/>
            <w:szCs w:val="22"/>
          </w:rPr>
        </w:r>
        <w:r w:rsidRPr="0082228F">
          <w:rPr>
            <w:noProof/>
            <w:webHidden/>
            <w:sz w:val="22"/>
            <w:szCs w:val="22"/>
          </w:rPr>
          <w:fldChar w:fldCharType="separate"/>
        </w:r>
        <w:r w:rsidR="00C76CFF">
          <w:rPr>
            <w:noProof/>
            <w:webHidden/>
            <w:sz w:val="22"/>
            <w:szCs w:val="22"/>
          </w:rPr>
          <w:t>5</w:t>
        </w:r>
        <w:r w:rsidRPr="0082228F">
          <w:rPr>
            <w:noProof/>
            <w:webHidden/>
            <w:sz w:val="22"/>
            <w:szCs w:val="22"/>
          </w:rPr>
          <w:fldChar w:fldCharType="end"/>
        </w:r>
      </w:hyperlink>
    </w:p>
    <w:p w:rsidR="0082228F" w:rsidRPr="00BD3AB1" w:rsidRDefault="0082228F">
      <w:pPr>
        <w:pStyle w:val="Kazalovsebine1"/>
        <w:rPr>
          <w:rFonts w:ascii="Calibri" w:hAnsi="Calibri"/>
          <w:b w:val="0"/>
          <w:noProof/>
          <w:sz w:val="22"/>
          <w:szCs w:val="22"/>
        </w:rPr>
      </w:pPr>
      <w:hyperlink w:anchor="_Toc484687250" w:history="1">
        <w:r w:rsidRPr="0082228F">
          <w:rPr>
            <w:rStyle w:val="Hiperpovezava"/>
            <w:noProof/>
            <w:sz w:val="22"/>
            <w:szCs w:val="22"/>
          </w:rPr>
          <w:t>POSEBNI DEL PRORAČUNA</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_Toc484687250 \h </w:instrText>
        </w:r>
        <w:r w:rsidRPr="0082228F">
          <w:rPr>
            <w:noProof/>
            <w:webHidden/>
            <w:sz w:val="22"/>
            <w:szCs w:val="22"/>
          </w:rPr>
        </w:r>
        <w:r w:rsidRPr="0082228F">
          <w:rPr>
            <w:noProof/>
            <w:webHidden/>
            <w:sz w:val="22"/>
            <w:szCs w:val="22"/>
          </w:rPr>
          <w:fldChar w:fldCharType="separate"/>
        </w:r>
        <w:r w:rsidR="00C76CFF">
          <w:rPr>
            <w:noProof/>
            <w:webHidden/>
            <w:sz w:val="22"/>
            <w:szCs w:val="22"/>
          </w:rPr>
          <w:t>5</w:t>
        </w:r>
        <w:r w:rsidRPr="0082228F">
          <w:rPr>
            <w:noProof/>
            <w:webHidden/>
            <w:sz w:val="22"/>
            <w:szCs w:val="22"/>
          </w:rPr>
          <w:fldChar w:fldCharType="end"/>
        </w:r>
      </w:hyperlink>
    </w:p>
    <w:p w:rsidR="0082228F" w:rsidRPr="00BD3AB1" w:rsidRDefault="0082228F">
      <w:pPr>
        <w:pStyle w:val="Kazalovsebine2"/>
        <w:tabs>
          <w:tab w:val="right" w:leader="dot" w:pos="9060"/>
        </w:tabs>
        <w:rPr>
          <w:rFonts w:ascii="Calibri" w:hAnsi="Calibri"/>
          <w:noProof/>
          <w:sz w:val="22"/>
          <w:szCs w:val="22"/>
        </w:rPr>
      </w:pPr>
      <w:hyperlink w:anchor="_Toc484687251" w:history="1">
        <w:r w:rsidRPr="0082228F">
          <w:rPr>
            <w:rStyle w:val="Hiperpovezava"/>
            <w:noProof/>
            <w:sz w:val="22"/>
            <w:szCs w:val="22"/>
          </w:rPr>
          <w:t>4000 – OBČINSKA UPRAVA</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_Toc484687251 \h </w:instrText>
        </w:r>
        <w:r w:rsidRPr="0082228F">
          <w:rPr>
            <w:noProof/>
            <w:webHidden/>
            <w:sz w:val="22"/>
            <w:szCs w:val="22"/>
          </w:rPr>
        </w:r>
        <w:r w:rsidRPr="0082228F">
          <w:rPr>
            <w:noProof/>
            <w:webHidden/>
            <w:sz w:val="22"/>
            <w:szCs w:val="22"/>
          </w:rPr>
          <w:fldChar w:fldCharType="separate"/>
        </w:r>
        <w:r w:rsidR="00C76CFF">
          <w:rPr>
            <w:noProof/>
            <w:webHidden/>
            <w:sz w:val="22"/>
            <w:szCs w:val="22"/>
          </w:rPr>
          <w:t>6</w:t>
        </w:r>
        <w:r w:rsidRPr="0082228F">
          <w:rPr>
            <w:noProof/>
            <w:webHidden/>
            <w:sz w:val="22"/>
            <w:szCs w:val="22"/>
          </w:rPr>
          <w:fldChar w:fldCharType="end"/>
        </w:r>
      </w:hyperlink>
    </w:p>
    <w:p w:rsidR="0082228F" w:rsidRPr="00BD3AB1" w:rsidRDefault="0082228F">
      <w:pPr>
        <w:pStyle w:val="Kazalovsebine1"/>
        <w:rPr>
          <w:rFonts w:ascii="Calibri" w:hAnsi="Calibri"/>
          <w:b w:val="0"/>
          <w:noProof/>
          <w:sz w:val="22"/>
          <w:szCs w:val="22"/>
        </w:rPr>
      </w:pPr>
      <w:hyperlink w:anchor="_Toc484687252" w:history="1">
        <w:r w:rsidRPr="0082228F">
          <w:rPr>
            <w:rStyle w:val="Hiperpovezava"/>
            <w:noProof/>
            <w:sz w:val="22"/>
            <w:szCs w:val="22"/>
          </w:rPr>
          <w:t>RAČUN FINANČNIH TERJATEV IN NALOŽB</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_Toc484687252 \h </w:instrText>
        </w:r>
        <w:r w:rsidRPr="0082228F">
          <w:rPr>
            <w:noProof/>
            <w:webHidden/>
            <w:sz w:val="22"/>
            <w:szCs w:val="22"/>
          </w:rPr>
        </w:r>
        <w:r w:rsidRPr="0082228F">
          <w:rPr>
            <w:noProof/>
            <w:webHidden/>
            <w:sz w:val="22"/>
            <w:szCs w:val="22"/>
          </w:rPr>
          <w:fldChar w:fldCharType="separate"/>
        </w:r>
        <w:r w:rsidR="00C76CFF">
          <w:rPr>
            <w:noProof/>
            <w:webHidden/>
            <w:sz w:val="22"/>
            <w:szCs w:val="22"/>
          </w:rPr>
          <w:t>10</w:t>
        </w:r>
        <w:r w:rsidRPr="0082228F">
          <w:rPr>
            <w:noProof/>
            <w:webHidden/>
            <w:sz w:val="22"/>
            <w:szCs w:val="22"/>
          </w:rPr>
          <w:fldChar w:fldCharType="end"/>
        </w:r>
      </w:hyperlink>
    </w:p>
    <w:p w:rsidR="0082228F" w:rsidRPr="00BD3AB1" w:rsidRDefault="0082228F">
      <w:pPr>
        <w:pStyle w:val="Kazalovsebine1"/>
        <w:rPr>
          <w:rFonts w:ascii="Calibri" w:hAnsi="Calibri"/>
          <w:b w:val="0"/>
          <w:noProof/>
          <w:sz w:val="22"/>
          <w:szCs w:val="22"/>
        </w:rPr>
      </w:pPr>
      <w:hyperlink w:anchor="_Toc484687253" w:history="1">
        <w:r w:rsidRPr="0082228F">
          <w:rPr>
            <w:rStyle w:val="Hiperpovezava"/>
            <w:noProof/>
            <w:sz w:val="22"/>
            <w:szCs w:val="22"/>
          </w:rPr>
          <w:t>RAČUN FINANCIRANJA</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_Toc484687253 \h </w:instrText>
        </w:r>
        <w:r w:rsidRPr="0082228F">
          <w:rPr>
            <w:noProof/>
            <w:webHidden/>
            <w:sz w:val="22"/>
            <w:szCs w:val="22"/>
          </w:rPr>
        </w:r>
        <w:r w:rsidRPr="0082228F">
          <w:rPr>
            <w:noProof/>
            <w:webHidden/>
            <w:sz w:val="22"/>
            <w:szCs w:val="22"/>
          </w:rPr>
          <w:fldChar w:fldCharType="separate"/>
        </w:r>
        <w:r w:rsidR="00C76CFF">
          <w:rPr>
            <w:noProof/>
            <w:webHidden/>
            <w:sz w:val="22"/>
            <w:szCs w:val="22"/>
          </w:rPr>
          <w:t>10</w:t>
        </w:r>
        <w:r w:rsidRPr="0082228F">
          <w:rPr>
            <w:noProof/>
            <w:webHidden/>
            <w:sz w:val="22"/>
            <w:szCs w:val="22"/>
          </w:rPr>
          <w:fldChar w:fldCharType="end"/>
        </w:r>
      </w:hyperlink>
    </w:p>
    <w:p w:rsidR="0082228F" w:rsidRPr="00BD3AB1" w:rsidRDefault="0082228F">
      <w:pPr>
        <w:pStyle w:val="Kazalovsebine1"/>
        <w:rPr>
          <w:rFonts w:ascii="Calibri" w:hAnsi="Calibri"/>
          <w:b w:val="0"/>
          <w:noProof/>
          <w:sz w:val="22"/>
          <w:szCs w:val="22"/>
        </w:rPr>
      </w:pPr>
      <w:hyperlink w:anchor="_Toc484687254" w:history="1">
        <w:r w:rsidRPr="0082228F">
          <w:rPr>
            <w:rStyle w:val="Hiperpovezava"/>
            <w:noProof/>
            <w:sz w:val="22"/>
            <w:szCs w:val="22"/>
          </w:rPr>
          <w:t>NAČRT RAZVOJNIH PROGRAMOV</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_Toc484687254 \h </w:instrText>
        </w:r>
        <w:r w:rsidRPr="0082228F">
          <w:rPr>
            <w:noProof/>
            <w:webHidden/>
            <w:sz w:val="22"/>
            <w:szCs w:val="22"/>
          </w:rPr>
        </w:r>
        <w:r w:rsidRPr="0082228F">
          <w:rPr>
            <w:noProof/>
            <w:webHidden/>
            <w:sz w:val="22"/>
            <w:szCs w:val="22"/>
          </w:rPr>
          <w:fldChar w:fldCharType="separate"/>
        </w:r>
        <w:r w:rsidR="00C76CFF">
          <w:rPr>
            <w:noProof/>
            <w:webHidden/>
            <w:sz w:val="22"/>
            <w:szCs w:val="22"/>
          </w:rPr>
          <w:t>10</w:t>
        </w:r>
        <w:r w:rsidRPr="0082228F">
          <w:rPr>
            <w:noProof/>
            <w:webHidden/>
            <w:sz w:val="22"/>
            <w:szCs w:val="22"/>
          </w:rPr>
          <w:fldChar w:fldCharType="end"/>
        </w:r>
      </w:hyperlink>
    </w:p>
    <w:p w:rsidR="0082228F" w:rsidRPr="00BD3AB1" w:rsidRDefault="0082228F">
      <w:pPr>
        <w:pStyle w:val="Kazalovsebine1"/>
        <w:rPr>
          <w:rFonts w:ascii="Calibri" w:hAnsi="Calibri"/>
          <w:b w:val="0"/>
          <w:noProof/>
          <w:sz w:val="22"/>
          <w:szCs w:val="22"/>
        </w:rPr>
      </w:pPr>
      <w:hyperlink w:anchor="_Toc484687255" w:history="1">
        <w:r w:rsidRPr="0082228F">
          <w:rPr>
            <w:rStyle w:val="Hiperpovezava"/>
            <w:noProof/>
            <w:sz w:val="22"/>
            <w:szCs w:val="22"/>
          </w:rPr>
          <w:t>V načrtu razvojnih programov so vključeni vsi projekti, ki so v proračunu razporejeni na skupini 42 – Investicijski odhodki in skupini 43 – Investicijski transferi. Vse spremembe v načrtu razvojnih programov so obrazložene pri posameznih proračunskih postavkah.</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_Toc484687255 \h </w:instrText>
        </w:r>
        <w:r w:rsidRPr="0082228F">
          <w:rPr>
            <w:noProof/>
            <w:webHidden/>
            <w:sz w:val="22"/>
            <w:szCs w:val="22"/>
          </w:rPr>
        </w:r>
        <w:r w:rsidRPr="0082228F">
          <w:rPr>
            <w:noProof/>
            <w:webHidden/>
            <w:sz w:val="22"/>
            <w:szCs w:val="22"/>
          </w:rPr>
          <w:fldChar w:fldCharType="separate"/>
        </w:r>
        <w:r w:rsidR="00C76CFF">
          <w:rPr>
            <w:noProof/>
            <w:webHidden/>
            <w:sz w:val="22"/>
            <w:szCs w:val="22"/>
          </w:rPr>
          <w:t>10</w:t>
        </w:r>
        <w:r w:rsidRPr="0082228F">
          <w:rPr>
            <w:noProof/>
            <w:webHidden/>
            <w:sz w:val="22"/>
            <w:szCs w:val="22"/>
          </w:rPr>
          <w:fldChar w:fldCharType="end"/>
        </w:r>
      </w:hyperlink>
    </w:p>
    <w:p w:rsidR="0082228F" w:rsidRPr="00BD3AB1" w:rsidRDefault="0082228F">
      <w:pPr>
        <w:pStyle w:val="Kazalovsebine1"/>
        <w:rPr>
          <w:rFonts w:ascii="Calibri" w:hAnsi="Calibri"/>
          <w:b w:val="0"/>
          <w:noProof/>
          <w:sz w:val="22"/>
          <w:szCs w:val="22"/>
        </w:rPr>
      </w:pPr>
      <w:hyperlink w:anchor="_Toc484687256" w:history="1">
        <w:r w:rsidRPr="0082228F">
          <w:rPr>
            <w:rStyle w:val="Hiperpovezava"/>
            <w:noProof/>
            <w:sz w:val="22"/>
            <w:szCs w:val="22"/>
          </w:rPr>
          <w:t>SKLEP</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_Toc484687256 \h </w:instrText>
        </w:r>
        <w:r w:rsidRPr="0082228F">
          <w:rPr>
            <w:noProof/>
            <w:webHidden/>
            <w:sz w:val="22"/>
            <w:szCs w:val="22"/>
          </w:rPr>
        </w:r>
        <w:r w:rsidRPr="0082228F">
          <w:rPr>
            <w:noProof/>
            <w:webHidden/>
            <w:sz w:val="22"/>
            <w:szCs w:val="22"/>
          </w:rPr>
          <w:fldChar w:fldCharType="separate"/>
        </w:r>
        <w:r w:rsidR="00C76CFF">
          <w:rPr>
            <w:noProof/>
            <w:webHidden/>
            <w:sz w:val="22"/>
            <w:szCs w:val="22"/>
          </w:rPr>
          <w:t>10</w:t>
        </w:r>
        <w:r w:rsidRPr="0082228F">
          <w:rPr>
            <w:noProof/>
            <w:webHidden/>
            <w:sz w:val="22"/>
            <w:szCs w:val="22"/>
          </w:rPr>
          <w:fldChar w:fldCharType="end"/>
        </w:r>
      </w:hyperlink>
    </w:p>
    <w:p w:rsidR="0082228F" w:rsidRPr="00BD3AB1" w:rsidRDefault="0082228F">
      <w:pPr>
        <w:pStyle w:val="Kazalovsebine3"/>
        <w:tabs>
          <w:tab w:val="right" w:leader="dot" w:pos="9060"/>
        </w:tabs>
        <w:rPr>
          <w:rFonts w:ascii="Calibri" w:hAnsi="Calibri"/>
          <w:noProof/>
          <w:sz w:val="22"/>
          <w:szCs w:val="22"/>
        </w:rPr>
      </w:pPr>
      <w:hyperlink w:anchor="_Toc484687257" w:history="1">
        <w:r w:rsidRPr="0082228F">
          <w:rPr>
            <w:rStyle w:val="Hiperpovezava"/>
            <w:noProof/>
            <w:sz w:val="22"/>
            <w:szCs w:val="22"/>
          </w:rPr>
          <w:t>Priloge:</w:t>
        </w:r>
        <w:r w:rsidRPr="0082228F">
          <w:rPr>
            <w:noProof/>
            <w:webHidden/>
            <w:sz w:val="22"/>
            <w:szCs w:val="22"/>
          </w:rPr>
          <w:tab/>
        </w:r>
        <w:r w:rsidRPr="0082228F">
          <w:rPr>
            <w:noProof/>
            <w:webHidden/>
            <w:sz w:val="22"/>
            <w:szCs w:val="22"/>
          </w:rPr>
          <w:fldChar w:fldCharType="begin"/>
        </w:r>
        <w:r w:rsidRPr="0082228F">
          <w:rPr>
            <w:noProof/>
            <w:webHidden/>
            <w:sz w:val="22"/>
            <w:szCs w:val="22"/>
          </w:rPr>
          <w:instrText xml:space="preserve"> PAGEREF _Toc484687257 \h </w:instrText>
        </w:r>
        <w:r w:rsidRPr="0082228F">
          <w:rPr>
            <w:noProof/>
            <w:webHidden/>
            <w:sz w:val="22"/>
            <w:szCs w:val="22"/>
          </w:rPr>
        </w:r>
        <w:r w:rsidRPr="0082228F">
          <w:rPr>
            <w:noProof/>
            <w:webHidden/>
            <w:sz w:val="22"/>
            <w:szCs w:val="22"/>
          </w:rPr>
          <w:fldChar w:fldCharType="separate"/>
        </w:r>
        <w:r w:rsidR="00C76CFF">
          <w:rPr>
            <w:noProof/>
            <w:webHidden/>
            <w:sz w:val="22"/>
            <w:szCs w:val="22"/>
          </w:rPr>
          <w:t>11</w:t>
        </w:r>
        <w:r w:rsidRPr="0082228F">
          <w:rPr>
            <w:noProof/>
            <w:webHidden/>
            <w:sz w:val="22"/>
            <w:szCs w:val="22"/>
          </w:rPr>
          <w:fldChar w:fldCharType="end"/>
        </w:r>
      </w:hyperlink>
    </w:p>
    <w:p w:rsidR="00125589" w:rsidRPr="004441DA" w:rsidRDefault="00CF7048">
      <w:pPr>
        <w:rPr>
          <w:sz w:val="22"/>
          <w:szCs w:val="22"/>
        </w:rPr>
      </w:pPr>
      <w:r w:rsidRPr="0082228F">
        <w:rPr>
          <w:b/>
          <w:sz w:val="22"/>
          <w:szCs w:val="22"/>
        </w:rPr>
        <w:fldChar w:fldCharType="end"/>
      </w:r>
      <w:r w:rsidR="00D469AB" w:rsidRPr="0082228F">
        <w:rPr>
          <w:sz w:val="22"/>
          <w:szCs w:val="22"/>
        </w:rPr>
        <w:t xml:space="preserve">        </w:t>
      </w:r>
      <w:r w:rsidR="007F0E91" w:rsidRPr="0082228F">
        <w:rPr>
          <w:sz w:val="22"/>
          <w:szCs w:val="22"/>
        </w:rPr>
        <w:t xml:space="preserve">  </w:t>
      </w:r>
      <w:r w:rsidR="00D469AB" w:rsidRPr="0082228F">
        <w:rPr>
          <w:sz w:val="22"/>
          <w:szCs w:val="22"/>
        </w:rPr>
        <w:t>Tabele:…..……………………………</w:t>
      </w:r>
      <w:r w:rsidR="00D469AB" w:rsidRPr="004441DA">
        <w:rPr>
          <w:sz w:val="22"/>
          <w:szCs w:val="22"/>
        </w:rPr>
        <w:t>………………………...…………11</w:t>
      </w:r>
    </w:p>
    <w:p w:rsidR="00125589" w:rsidRPr="004441DA" w:rsidRDefault="00125589">
      <w:pPr>
        <w:rPr>
          <w:sz w:val="22"/>
          <w:szCs w:val="22"/>
        </w:rPr>
      </w:pPr>
    </w:p>
    <w:p w:rsidR="00D8570C" w:rsidRPr="004441DA" w:rsidRDefault="00D8570C">
      <w:pPr>
        <w:rPr>
          <w:sz w:val="22"/>
          <w:szCs w:val="22"/>
        </w:rPr>
      </w:pPr>
    </w:p>
    <w:p w:rsidR="00D8570C" w:rsidRPr="004441DA" w:rsidRDefault="00D8570C">
      <w:pPr>
        <w:rPr>
          <w:sz w:val="22"/>
          <w:szCs w:val="22"/>
        </w:rPr>
      </w:pPr>
    </w:p>
    <w:p w:rsidR="00D8570C" w:rsidRPr="004441DA" w:rsidRDefault="00D8570C">
      <w:pPr>
        <w:rPr>
          <w:sz w:val="22"/>
          <w:szCs w:val="22"/>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D8570C" w:rsidRPr="00D91653" w:rsidRDefault="00D8570C">
      <w:pPr>
        <w:rPr>
          <w:sz w:val="24"/>
          <w:szCs w:val="24"/>
        </w:rPr>
      </w:pPr>
    </w:p>
    <w:p w:rsidR="00125589" w:rsidRPr="00D91653" w:rsidRDefault="00125589">
      <w:pPr>
        <w:rPr>
          <w:sz w:val="24"/>
          <w:szCs w:val="24"/>
        </w:rPr>
      </w:pPr>
    </w:p>
    <w:p w:rsidR="00125589" w:rsidRPr="00D91653" w:rsidRDefault="00125589">
      <w:pPr>
        <w:rPr>
          <w:sz w:val="24"/>
          <w:szCs w:val="24"/>
        </w:rPr>
      </w:pPr>
    </w:p>
    <w:p w:rsidR="00125589" w:rsidRPr="00D91653" w:rsidRDefault="00125589">
      <w:pPr>
        <w:rPr>
          <w:sz w:val="24"/>
          <w:szCs w:val="24"/>
        </w:rPr>
      </w:pPr>
    </w:p>
    <w:p w:rsidR="00125589" w:rsidRPr="00D91653" w:rsidRDefault="00125589">
      <w:pPr>
        <w:rPr>
          <w:sz w:val="24"/>
          <w:szCs w:val="24"/>
        </w:rPr>
      </w:pPr>
    </w:p>
    <w:p w:rsidR="00125589" w:rsidRPr="00D91653" w:rsidRDefault="00125589">
      <w:pPr>
        <w:rPr>
          <w:sz w:val="24"/>
          <w:szCs w:val="24"/>
        </w:rPr>
      </w:pPr>
    </w:p>
    <w:p w:rsidR="00125589" w:rsidRPr="00D91653" w:rsidRDefault="00125589">
      <w:pPr>
        <w:rPr>
          <w:sz w:val="24"/>
          <w:szCs w:val="24"/>
        </w:rPr>
      </w:pPr>
    </w:p>
    <w:p w:rsidR="00125589" w:rsidRPr="00D91653" w:rsidRDefault="00125589">
      <w:pPr>
        <w:rPr>
          <w:sz w:val="24"/>
          <w:szCs w:val="24"/>
        </w:rPr>
      </w:pPr>
    </w:p>
    <w:p w:rsidR="00125589" w:rsidRPr="00D91653" w:rsidRDefault="00125589">
      <w:pPr>
        <w:rPr>
          <w:sz w:val="24"/>
          <w:szCs w:val="24"/>
        </w:rPr>
      </w:pPr>
    </w:p>
    <w:p w:rsidR="00125589" w:rsidRPr="00D91653" w:rsidRDefault="00125589">
      <w:pPr>
        <w:rPr>
          <w:sz w:val="24"/>
          <w:szCs w:val="24"/>
        </w:rPr>
      </w:pPr>
    </w:p>
    <w:p w:rsidR="00125589" w:rsidRPr="00D91653" w:rsidRDefault="00125589">
      <w:pPr>
        <w:rPr>
          <w:sz w:val="24"/>
          <w:szCs w:val="24"/>
        </w:rPr>
      </w:pPr>
    </w:p>
    <w:p w:rsidR="004A4753" w:rsidRDefault="004A4753">
      <w:pPr>
        <w:rPr>
          <w:sz w:val="24"/>
          <w:szCs w:val="24"/>
        </w:rPr>
      </w:pPr>
    </w:p>
    <w:p w:rsidR="00D91653" w:rsidRDefault="00D91653">
      <w:pPr>
        <w:rPr>
          <w:sz w:val="24"/>
          <w:szCs w:val="24"/>
        </w:rPr>
      </w:pPr>
    </w:p>
    <w:p w:rsidR="00D91653" w:rsidRDefault="00D91653">
      <w:pPr>
        <w:rPr>
          <w:sz w:val="24"/>
          <w:szCs w:val="24"/>
        </w:rPr>
      </w:pPr>
    </w:p>
    <w:p w:rsidR="00D91653" w:rsidRDefault="00D91653">
      <w:pPr>
        <w:rPr>
          <w:sz w:val="24"/>
          <w:szCs w:val="24"/>
        </w:rPr>
      </w:pPr>
    </w:p>
    <w:p w:rsidR="00D91653" w:rsidRDefault="00D91653">
      <w:pPr>
        <w:rPr>
          <w:sz w:val="24"/>
          <w:szCs w:val="24"/>
        </w:rPr>
      </w:pPr>
    </w:p>
    <w:p w:rsidR="00D91653" w:rsidRPr="00D91653" w:rsidRDefault="00D91653">
      <w:pPr>
        <w:rPr>
          <w:sz w:val="24"/>
          <w:szCs w:val="24"/>
        </w:rPr>
      </w:pPr>
    </w:p>
    <w:p w:rsidR="00125589" w:rsidRPr="00D91653" w:rsidRDefault="00125589">
      <w:pPr>
        <w:rPr>
          <w:sz w:val="24"/>
          <w:szCs w:val="24"/>
        </w:rPr>
      </w:pPr>
    </w:p>
    <w:p w:rsidR="0064738F" w:rsidRDefault="0064738F" w:rsidP="00D8570C">
      <w:pPr>
        <w:pStyle w:val="Naslov1"/>
        <w:rPr>
          <w:rFonts w:ascii="Times New Roman" w:hAnsi="Times New Roman"/>
          <w:sz w:val="24"/>
          <w:szCs w:val="24"/>
        </w:rPr>
      </w:pPr>
    </w:p>
    <w:p w:rsidR="00C259FA" w:rsidRPr="00D91653" w:rsidRDefault="00C259FA" w:rsidP="00D8570C">
      <w:pPr>
        <w:pStyle w:val="Naslov1"/>
        <w:rPr>
          <w:rFonts w:ascii="Times New Roman" w:hAnsi="Times New Roman"/>
          <w:sz w:val="24"/>
          <w:szCs w:val="24"/>
        </w:rPr>
      </w:pPr>
      <w:bookmarkStart w:id="5" w:name="_Toc484687244"/>
      <w:r w:rsidRPr="00D91653">
        <w:rPr>
          <w:rFonts w:ascii="Times New Roman" w:hAnsi="Times New Roman"/>
          <w:sz w:val="24"/>
          <w:szCs w:val="24"/>
        </w:rPr>
        <w:t>UVOD</w:t>
      </w:r>
      <w:bookmarkEnd w:id="5"/>
    </w:p>
    <w:p w:rsidR="00C259FA" w:rsidRPr="00B2201F" w:rsidRDefault="00C259FA" w:rsidP="00C259FA">
      <w:pPr>
        <w:rPr>
          <w:b/>
          <w:sz w:val="22"/>
          <w:szCs w:val="22"/>
        </w:rPr>
      </w:pPr>
    </w:p>
    <w:p w:rsidR="00C259FA" w:rsidRPr="00B2201F" w:rsidRDefault="00C259FA" w:rsidP="00C259FA">
      <w:pPr>
        <w:jc w:val="both"/>
        <w:rPr>
          <w:sz w:val="22"/>
          <w:szCs w:val="22"/>
        </w:rPr>
      </w:pPr>
      <w:r w:rsidRPr="00B2201F">
        <w:rPr>
          <w:sz w:val="22"/>
          <w:szCs w:val="22"/>
        </w:rPr>
        <w:t xml:space="preserve">Na podlagi </w:t>
      </w:r>
      <w:r w:rsidR="00CA1881" w:rsidRPr="00B2201F">
        <w:rPr>
          <w:sz w:val="22"/>
          <w:szCs w:val="22"/>
        </w:rPr>
        <w:t xml:space="preserve">sprejetega </w:t>
      </w:r>
      <w:r w:rsidRPr="00B2201F">
        <w:rPr>
          <w:sz w:val="22"/>
          <w:szCs w:val="22"/>
        </w:rPr>
        <w:t xml:space="preserve">Odloka o proračunu občine Cerklje na Gorenjskem za leto </w:t>
      </w:r>
      <w:r w:rsidR="0028786B" w:rsidRPr="00B2201F">
        <w:rPr>
          <w:sz w:val="22"/>
          <w:szCs w:val="22"/>
        </w:rPr>
        <w:t>2017</w:t>
      </w:r>
      <w:r w:rsidRPr="00B2201F">
        <w:rPr>
          <w:sz w:val="22"/>
          <w:szCs w:val="22"/>
        </w:rPr>
        <w:t xml:space="preserve"> (Uradni vestnik Občine Cerklje na Gorenjskem št. </w:t>
      </w:r>
      <w:r w:rsidR="00E168DF" w:rsidRPr="00B2201F">
        <w:rPr>
          <w:sz w:val="22"/>
          <w:szCs w:val="22"/>
        </w:rPr>
        <w:t>7</w:t>
      </w:r>
      <w:r w:rsidR="00955F2F" w:rsidRPr="00B2201F">
        <w:rPr>
          <w:sz w:val="22"/>
          <w:szCs w:val="22"/>
        </w:rPr>
        <w:t>/201</w:t>
      </w:r>
      <w:r w:rsidR="00E168DF" w:rsidRPr="00B2201F">
        <w:rPr>
          <w:sz w:val="22"/>
          <w:szCs w:val="22"/>
        </w:rPr>
        <w:t>6</w:t>
      </w:r>
      <w:r w:rsidRPr="00B2201F">
        <w:rPr>
          <w:sz w:val="22"/>
          <w:szCs w:val="22"/>
        </w:rPr>
        <w:t>)</w:t>
      </w:r>
      <w:r w:rsidR="00F432E2" w:rsidRPr="00B2201F">
        <w:rPr>
          <w:sz w:val="22"/>
          <w:szCs w:val="22"/>
        </w:rPr>
        <w:t xml:space="preserve"> </w:t>
      </w:r>
      <w:r w:rsidRPr="00B2201F">
        <w:rPr>
          <w:sz w:val="22"/>
          <w:szCs w:val="22"/>
        </w:rPr>
        <w:t>občinsk</w:t>
      </w:r>
      <w:r w:rsidR="00A26C8C">
        <w:rPr>
          <w:sz w:val="22"/>
          <w:szCs w:val="22"/>
        </w:rPr>
        <w:t xml:space="preserve">emu svetu predlagam, da sprejme </w:t>
      </w:r>
      <w:r w:rsidRPr="00B2201F">
        <w:rPr>
          <w:sz w:val="22"/>
          <w:szCs w:val="22"/>
        </w:rPr>
        <w:t xml:space="preserve">rebalans proračuna Občine Cerklje na Gorenjskem za leto </w:t>
      </w:r>
      <w:r w:rsidR="00E168DF" w:rsidRPr="00B2201F">
        <w:rPr>
          <w:sz w:val="22"/>
          <w:szCs w:val="22"/>
        </w:rPr>
        <w:t>2017</w:t>
      </w:r>
      <w:r w:rsidRPr="00B2201F">
        <w:rPr>
          <w:sz w:val="22"/>
          <w:szCs w:val="22"/>
        </w:rPr>
        <w:t xml:space="preserve"> z naslednjo obrazložitvijo:</w:t>
      </w:r>
    </w:p>
    <w:p w:rsidR="00C259FA" w:rsidRPr="00B2201F" w:rsidRDefault="00C259FA" w:rsidP="00C259FA">
      <w:pPr>
        <w:jc w:val="both"/>
        <w:rPr>
          <w:sz w:val="22"/>
          <w:szCs w:val="22"/>
        </w:rPr>
      </w:pPr>
      <w:r w:rsidRPr="00B2201F">
        <w:rPr>
          <w:sz w:val="22"/>
          <w:szCs w:val="22"/>
        </w:rPr>
        <w:t xml:space="preserve"> </w:t>
      </w:r>
    </w:p>
    <w:p w:rsidR="00C259FA" w:rsidRPr="00B2201F" w:rsidRDefault="00C259FA" w:rsidP="00C259FA">
      <w:pPr>
        <w:jc w:val="both"/>
        <w:rPr>
          <w:sz w:val="22"/>
          <w:szCs w:val="22"/>
        </w:rPr>
      </w:pPr>
      <w:r w:rsidRPr="00B2201F">
        <w:rPr>
          <w:sz w:val="22"/>
          <w:szCs w:val="22"/>
        </w:rPr>
        <w:t xml:space="preserve">Na predlog župana je občinska uprava pripravila nove ocenitve proračunskih postavk. </w:t>
      </w:r>
    </w:p>
    <w:p w:rsidR="00C259FA" w:rsidRPr="00B2201F" w:rsidRDefault="00C259FA" w:rsidP="00D8570C">
      <w:pPr>
        <w:pStyle w:val="Naslov1"/>
        <w:rPr>
          <w:rFonts w:ascii="Times New Roman" w:hAnsi="Times New Roman"/>
          <w:sz w:val="22"/>
          <w:szCs w:val="22"/>
        </w:rPr>
      </w:pPr>
      <w:bookmarkStart w:id="6" w:name="_Toc484687245"/>
      <w:r w:rsidRPr="00B2201F">
        <w:rPr>
          <w:rFonts w:ascii="Times New Roman" w:hAnsi="Times New Roman"/>
          <w:sz w:val="22"/>
          <w:szCs w:val="22"/>
        </w:rPr>
        <w:t>SPLOŠNI DEL PRORAČUNA</w:t>
      </w:r>
      <w:bookmarkEnd w:id="6"/>
    </w:p>
    <w:p w:rsidR="00E1538B" w:rsidRPr="00B2201F" w:rsidRDefault="00E1538B" w:rsidP="00E1538B">
      <w:pPr>
        <w:rPr>
          <w:sz w:val="22"/>
          <w:szCs w:val="22"/>
        </w:rPr>
      </w:pPr>
    </w:p>
    <w:p w:rsidR="00E1538B" w:rsidRDefault="00E1538B" w:rsidP="00E1538B">
      <w:pPr>
        <w:jc w:val="both"/>
        <w:rPr>
          <w:sz w:val="22"/>
          <w:szCs w:val="22"/>
        </w:rPr>
      </w:pPr>
      <w:r w:rsidRPr="00B2201F">
        <w:rPr>
          <w:sz w:val="22"/>
          <w:szCs w:val="22"/>
        </w:rPr>
        <w:t xml:space="preserve">Splošni del vključuje bilanco prihodkov in odhodkov, račun finančnih terjatev in naložb, račun financiranja. </w:t>
      </w:r>
      <w:r w:rsidR="000D142B" w:rsidRPr="00B2201F">
        <w:rPr>
          <w:sz w:val="22"/>
          <w:szCs w:val="22"/>
        </w:rPr>
        <w:t>B</w:t>
      </w:r>
      <w:r w:rsidR="00FA0475" w:rsidRPr="00B2201F">
        <w:rPr>
          <w:sz w:val="22"/>
          <w:szCs w:val="22"/>
        </w:rPr>
        <w:t>ilanca</w:t>
      </w:r>
      <w:r w:rsidR="000D142B" w:rsidRPr="00B2201F">
        <w:rPr>
          <w:sz w:val="22"/>
          <w:szCs w:val="22"/>
        </w:rPr>
        <w:t xml:space="preserve"> prihodkov in odhodkov</w:t>
      </w:r>
      <w:r w:rsidRPr="00B2201F">
        <w:rPr>
          <w:sz w:val="22"/>
          <w:szCs w:val="22"/>
        </w:rPr>
        <w:t xml:space="preserve"> </w:t>
      </w:r>
      <w:r w:rsidR="000D142B" w:rsidRPr="00B2201F">
        <w:rPr>
          <w:sz w:val="22"/>
          <w:szCs w:val="22"/>
        </w:rPr>
        <w:t>izkaz</w:t>
      </w:r>
      <w:r w:rsidR="00FA0475" w:rsidRPr="00B2201F">
        <w:rPr>
          <w:sz w:val="22"/>
          <w:szCs w:val="22"/>
        </w:rPr>
        <w:t>u</w:t>
      </w:r>
      <w:r w:rsidR="000D142B" w:rsidRPr="00B2201F">
        <w:rPr>
          <w:sz w:val="22"/>
          <w:szCs w:val="22"/>
        </w:rPr>
        <w:t xml:space="preserve">je </w:t>
      </w:r>
      <w:r w:rsidRPr="00B2201F">
        <w:rPr>
          <w:sz w:val="22"/>
          <w:szCs w:val="22"/>
        </w:rPr>
        <w:t xml:space="preserve"> rebalans proračuna za leto </w:t>
      </w:r>
      <w:r w:rsidR="00E168DF" w:rsidRPr="00B2201F">
        <w:rPr>
          <w:sz w:val="22"/>
          <w:szCs w:val="22"/>
        </w:rPr>
        <w:t>2017</w:t>
      </w:r>
      <w:r w:rsidRPr="00B2201F">
        <w:rPr>
          <w:sz w:val="22"/>
          <w:szCs w:val="22"/>
        </w:rPr>
        <w:t xml:space="preserve"> v primerjavi </w:t>
      </w:r>
      <w:r w:rsidR="00F432E2" w:rsidRPr="00B2201F">
        <w:rPr>
          <w:sz w:val="22"/>
          <w:szCs w:val="22"/>
        </w:rPr>
        <w:t>s</w:t>
      </w:r>
      <w:r w:rsidR="001E065C" w:rsidRPr="00B2201F">
        <w:rPr>
          <w:sz w:val="22"/>
          <w:szCs w:val="22"/>
        </w:rPr>
        <w:t xml:space="preserve"> </w:t>
      </w:r>
      <w:r w:rsidR="00F432E2" w:rsidRPr="00B2201F">
        <w:rPr>
          <w:sz w:val="22"/>
          <w:szCs w:val="22"/>
        </w:rPr>
        <w:t>sprejetim</w:t>
      </w:r>
      <w:r w:rsidR="001E065C" w:rsidRPr="00B2201F">
        <w:rPr>
          <w:sz w:val="22"/>
          <w:szCs w:val="22"/>
        </w:rPr>
        <w:t xml:space="preserve"> </w:t>
      </w:r>
      <w:r w:rsidR="00F432E2" w:rsidRPr="00B2201F">
        <w:rPr>
          <w:sz w:val="22"/>
          <w:szCs w:val="22"/>
        </w:rPr>
        <w:t xml:space="preserve">proračunom. </w:t>
      </w:r>
      <w:r w:rsidRPr="00B2201F">
        <w:rPr>
          <w:sz w:val="22"/>
          <w:szCs w:val="22"/>
        </w:rPr>
        <w:t>Uskladitev sprejetega proračuna je potrebna iz razloga, da se lahko izpeljejo projekti, katerih vrednosti odstopajo od sprejetega proračuna.</w:t>
      </w:r>
    </w:p>
    <w:p w:rsidR="00454E11" w:rsidRDefault="00454E11" w:rsidP="00E1538B">
      <w:pPr>
        <w:jc w:val="both"/>
        <w:rPr>
          <w:sz w:val="22"/>
          <w:szCs w:val="22"/>
        </w:rPr>
      </w:pPr>
    </w:p>
    <w:p w:rsidR="00454E11" w:rsidRPr="00454E11" w:rsidRDefault="00454E11" w:rsidP="00454E11">
      <w:pPr>
        <w:jc w:val="both"/>
        <w:rPr>
          <w:sz w:val="22"/>
          <w:szCs w:val="22"/>
          <w:u w:val="single"/>
        </w:rPr>
      </w:pPr>
      <w:r w:rsidRPr="00454E11">
        <w:rPr>
          <w:sz w:val="22"/>
          <w:szCs w:val="22"/>
          <w:u w:val="single"/>
        </w:rPr>
        <w:t xml:space="preserve">Veljavni plan ; </w:t>
      </w:r>
      <w:r w:rsidRPr="00454E11">
        <w:rPr>
          <w:sz w:val="22"/>
          <w:szCs w:val="22"/>
        </w:rPr>
        <w:t>Župan je s sklepi o prerazporeditvi prerazporedil sredstva v proračunu za namene, ki v proračunu niso bili opredeljeni oziroma je bila njihova višina prenizka. S prerazporeditvijo zneskov med konti in proračunskimi postavkami se določa veljavni plan kot zadnji sprejeti proračun.</w:t>
      </w:r>
    </w:p>
    <w:p w:rsidR="00454E11" w:rsidRPr="00454E11" w:rsidRDefault="00454E11" w:rsidP="00454E11">
      <w:pPr>
        <w:jc w:val="both"/>
        <w:rPr>
          <w:sz w:val="22"/>
          <w:szCs w:val="22"/>
        </w:rPr>
      </w:pPr>
    </w:p>
    <w:p w:rsidR="00454E11" w:rsidRPr="00454E11" w:rsidRDefault="00454E11" w:rsidP="00454E11">
      <w:pPr>
        <w:jc w:val="both"/>
        <w:rPr>
          <w:sz w:val="22"/>
          <w:szCs w:val="22"/>
        </w:rPr>
      </w:pPr>
      <w:r w:rsidRPr="00454E11">
        <w:rPr>
          <w:sz w:val="22"/>
          <w:szCs w:val="22"/>
        </w:rPr>
        <w:t>Po sklepih župana so nastale naslednje spremembe:</w:t>
      </w:r>
    </w:p>
    <w:p w:rsidR="00FF4AB1" w:rsidRPr="00FF4AB1" w:rsidRDefault="00FF4AB1" w:rsidP="00FF4AB1"/>
    <w:p w:rsidR="00454E11" w:rsidRPr="00454E11" w:rsidRDefault="00FF4AB1" w:rsidP="00FF4AB1">
      <w:pPr>
        <w:pStyle w:val="Napis"/>
        <w:rPr>
          <w:sz w:val="22"/>
          <w:szCs w:val="22"/>
          <w:highlight w:val="yellow"/>
        </w:rPr>
      </w:pPr>
      <w:bookmarkStart w:id="7" w:name="_Toc484612499"/>
      <w:r>
        <w:t xml:space="preserve">Tabela </w:t>
      </w:r>
      <w:fldSimple w:instr=" SEQ Tabela \* ARABIC ">
        <w:r w:rsidR="00C76CFF">
          <w:rPr>
            <w:noProof/>
          </w:rPr>
          <w:t>1</w:t>
        </w:r>
      </w:fldSimple>
      <w:r>
        <w:t xml:space="preserve"> Prerazporeditev sredstev med pod konti in proračunskimi postavkami</w:t>
      </w:r>
      <w:bookmarkEnd w:id="7"/>
    </w:p>
    <w:tbl>
      <w:tblPr>
        <w:tblW w:w="895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4746"/>
        <w:gridCol w:w="1449"/>
        <w:gridCol w:w="1276"/>
      </w:tblGrid>
      <w:tr w:rsidR="00454E11" w:rsidRPr="00454E11" w:rsidTr="008973D8">
        <w:trPr>
          <w:trHeight w:val="510"/>
        </w:trPr>
        <w:tc>
          <w:tcPr>
            <w:tcW w:w="1480" w:type="dxa"/>
            <w:shd w:val="clear" w:color="auto" w:fill="auto"/>
            <w:vAlign w:val="bottom"/>
          </w:tcPr>
          <w:p w:rsidR="00454E11" w:rsidRPr="00454E11" w:rsidRDefault="00454E11" w:rsidP="00572DDE">
            <w:pPr>
              <w:rPr>
                <w:sz w:val="22"/>
                <w:szCs w:val="22"/>
              </w:rPr>
            </w:pPr>
            <w:r w:rsidRPr="00454E11">
              <w:rPr>
                <w:sz w:val="22"/>
                <w:szCs w:val="22"/>
              </w:rPr>
              <w:t>Proračunska postavka, konto</w:t>
            </w:r>
          </w:p>
        </w:tc>
        <w:tc>
          <w:tcPr>
            <w:tcW w:w="4746" w:type="dxa"/>
            <w:shd w:val="clear" w:color="auto" w:fill="auto"/>
            <w:vAlign w:val="bottom"/>
          </w:tcPr>
          <w:p w:rsidR="00454E11" w:rsidRPr="00454E11" w:rsidRDefault="00454E11" w:rsidP="00572DDE">
            <w:pPr>
              <w:rPr>
                <w:sz w:val="22"/>
                <w:szCs w:val="22"/>
              </w:rPr>
            </w:pPr>
            <w:r w:rsidRPr="00454E11">
              <w:rPr>
                <w:sz w:val="22"/>
                <w:szCs w:val="22"/>
              </w:rPr>
              <w:t>Namen porabe</w:t>
            </w:r>
          </w:p>
        </w:tc>
        <w:tc>
          <w:tcPr>
            <w:tcW w:w="1449" w:type="dxa"/>
            <w:shd w:val="clear" w:color="auto" w:fill="auto"/>
            <w:vAlign w:val="bottom"/>
          </w:tcPr>
          <w:p w:rsidR="00454E11" w:rsidRPr="00454E11" w:rsidRDefault="00454E11" w:rsidP="00572DDE">
            <w:pPr>
              <w:rPr>
                <w:sz w:val="18"/>
                <w:szCs w:val="18"/>
              </w:rPr>
            </w:pPr>
            <w:r w:rsidRPr="00454E11">
              <w:rPr>
                <w:sz w:val="18"/>
                <w:szCs w:val="18"/>
              </w:rPr>
              <w:t>Zmanjšanje sredstev v EUR</w:t>
            </w:r>
          </w:p>
        </w:tc>
        <w:tc>
          <w:tcPr>
            <w:tcW w:w="1276" w:type="dxa"/>
            <w:shd w:val="clear" w:color="auto" w:fill="auto"/>
            <w:vAlign w:val="bottom"/>
          </w:tcPr>
          <w:p w:rsidR="00454E11" w:rsidRPr="00454E11" w:rsidRDefault="00454E11" w:rsidP="00572DDE">
            <w:pPr>
              <w:rPr>
                <w:sz w:val="18"/>
                <w:szCs w:val="18"/>
              </w:rPr>
            </w:pPr>
            <w:r w:rsidRPr="00454E11">
              <w:rPr>
                <w:sz w:val="18"/>
                <w:szCs w:val="18"/>
              </w:rPr>
              <w:t>Povečanje sredstev v EUR</w:t>
            </w:r>
          </w:p>
        </w:tc>
      </w:tr>
      <w:tr w:rsidR="00454E11" w:rsidRPr="00454E11" w:rsidTr="008973D8">
        <w:trPr>
          <w:trHeight w:val="510"/>
        </w:trPr>
        <w:tc>
          <w:tcPr>
            <w:tcW w:w="1480" w:type="dxa"/>
            <w:shd w:val="clear" w:color="auto" w:fill="auto"/>
            <w:vAlign w:val="bottom"/>
          </w:tcPr>
          <w:p w:rsidR="00454E11" w:rsidRPr="00454E11" w:rsidRDefault="00454E11" w:rsidP="00572DDE">
            <w:pPr>
              <w:rPr>
                <w:sz w:val="22"/>
                <w:szCs w:val="22"/>
              </w:rPr>
            </w:pPr>
            <w:r>
              <w:rPr>
                <w:sz w:val="22"/>
                <w:szCs w:val="22"/>
              </w:rPr>
              <w:t>1639 402009</w:t>
            </w:r>
          </w:p>
        </w:tc>
        <w:tc>
          <w:tcPr>
            <w:tcW w:w="4746" w:type="dxa"/>
            <w:shd w:val="clear" w:color="auto" w:fill="auto"/>
            <w:vAlign w:val="bottom"/>
          </w:tcPr>
          <w:p w:rsidR="00454E11" w:rsidRPr="00454E11" w:rsidRDefault="00454E11" w:rsidP="00572DDE">
            <w:pPr>
              <w:rPr>
                <w:sz w:val="22"/>
                <w:szCs w:val="22"/>
              </w:rPr>
            </w:pPr>
            <w:r w:rsidRPr="00454E11">
              <w:rPr>
                <w:sz w:val="22"/>
                <w:szCs w:val="22"/>
              </w:rPr>
              <w:t>Izdatki za reprezentanco</w:t>
            </w:r>
          </w:p>
        </w:tc>
        <w:tc>
          <w:tcPr>
            <w:tcW w:w="1449" w:type="dxa"/>
            <w:shd w:val="clear" w:color="auto" w:fill="auto"/>
            <w:vAlign w:val="bottom"/>
          </w:tcPr>
          <w:p w:rsidR="00454E11" w:rsidRPr="00454E11" w:rsidRDefault="00454E11" w:rsidP="00572DDE">
            <w:pPr>
              <w:jc w:val="right"/>
              <w:rPr>
                <w:sz w:val="22"/>
                <w:szCs w:val="22"/>
              </w:rPr>
            </w:pPr>
            <w:r>
              <w:rPr>
                <w:sz w:val="22"/>
                <w:szCs w:val="22"/>
              </w:rPr>
              <w:t>600 €</w:t>
            </w:r>
          </w:p>
        </w:tc>
        <w:tc>
          <w:tcPr>
            <w:tcW w:w="1276" w:type="dxa"/>
            <w:shd w:val="clear" w:color="auto" w:fill="auto"/>
            <w:vAlign w:val="bottom"/>
          </w:tcPr>
          <w:p w:rsidR="00454E11" w:rsidRPr="00454E11" w:rsidRDefault="00454E11" w:rsidP="00572DDE">
            <w:pPr>
              <w:jc w:val="right"/>
              <w:rPr>
                <w:sz w:val="22"/>
                <w:szCs w:val="22"/>
              </w:rPr>
            </w:pPr>
          </w:p>
        </w:tc>
      </w:tr>
      <w:tr w:rsidR="00454E11" w:rsidRPr="00454E11" w:rsidTr="008973D8">
        <w:trPr>
          <w:trHeight w:val="510"/>
        </w:trPr>
        <w:tc>
          <w:tcPr>
            <w:tcW w:w="1480" w:type="dxa"/>
            <w:shd w:val="clear" w:color="auto" w:fill="auto"/>
            <w:vAlign w:val="bottom"/>
          </w:tcPr>
          <w:p w:rsidR="00454E11" w:rsidRPr="00454E11" w:rsidRDefault="00454E11" w:rsidP="00572DDE">
            <w:pPr>
              <w:rPr>
                <w:sz w:val="22"/>
                <w:szCs w:val="22"/>
              </w:rPr>
            </w:pPr>
            <w:r>
              <w:rPr>
                <w:sz w:val="22"/>
                <w:szCs w:val="22"/>
              </w:rPr>
              <w:t>1639 402099</w:t>
            </w:r>
          </w:p>
        </w:tc>
        <w:tc>
          <w:tcPr>
            <w:tcW w:w="4746" w:type="dxa"/>
            <w:shd w:val="clear" w:color="auto" w:fill="auto"/>
            <w:vAlign w:val="bottom"/>
          </w:tcPr>
          <w:p w:rsidR="00454E11" w:rsidRPr="00454E11" w:rsidRDefault="00454E11" w:rsidP="00572DDE">
            <w:pPr>
              <w:rPr>
                <w:sz w:val="22"/>
                <w:szCs w:val="22"/>
              </w:rPr>
            </w:pPr>
            <w:r>
              <w:rPr>
                <w:sz w:val="22"/>
                <w:szCs w:val="22"/>
              </w:rPr>
              <w:t>Drugi splošni material in storitve</w:t>
            </w:r>
          </w:p>
        </w:tc>
        <w:tc>
          <w:tcPr>
            <w:tcW w:w="1449" w:type="dxa"/>
            <w:shd w:val="clear" w:color="auto" w:fill="auto"/>
            <w:vAlign w:val="bottom"/>
          </w:tcPr>
          <w:p w:rsidR="00454E11" w:rsidRPr="00454E11" w:rsidRDefault="00454E11" w:rsidP="00572DDE">
            <w:pPr>
              <w:jc w:val="right"/>
              <w:rPr>
                <w:sz w:val="22"/>
                <w:szCs w:val="22"/>
              </w:rPr>
            </w:pPr>
          </w:p>
        </w:tc>
        <w:tc>
          <w:tcPr>
            <w:tcW w:w="1276" w:type="dxa"/>
            <w:shd w:val="clear" w:color="auto" w:fill="auto"/>
            <w:vAlign w:val="bottom"/>
          </w:tcPr>
          <w:p w:rsidR="00454E11" w:rsidRPr="00454E11" w:rsidRDefault="00454E11" w:rsidP="00572DDE">
            <w:pPr>
              <w:jc w:val="right"/>
              <w:rPr>
                <w:sz w:val="22"/>
                <w:szCs w:val="22"/>
              </w:rPr>
            </w:pPr>
            <w:r>
              <w:rPr>
                <w:sz w:val="22"/>
                <w:szCs w:val="22"/>
              </w:rPr>
              <w:t>600 €</w:t>
            </w:r>
          </w:p>
        </w:tc>
      </w:tr>
      <w:tr w:rsidR="00454E11" w:rsidRPr="00454E11" w:rsidTr="008973D8">
        <w:trPr>
          <w:trHeight w:val="510"/>
        </w:trPr>
        <w:tc>
          <w:tcPr>
            <w:tcW w:w="1480" w:type="dxa"/>
            <w:shd w:val="clear" w:color="auto" w:fill="auto"/>
            <w:vAlign w:val="bottom"/>
          </w:tcPr>
          <w:p w:rsidR="00454E11" w:rsidRPr="00454E11" w:rsidRDefault="00454E11" w:rsidP="00572DDE">
            <w:pPr>
              <w:rPr>
                <w:sz w:val="22"/>
                <w:szCs w:val="22"/>
              </w:rPr>
            </w:pPr>
          </w:p>
        </w:tc>
        <w:tc>
          <w:tcPr>
            <w:tcW w:w="4746" w:type="dxa"/>
            <w:shd w:val="clear" w:color="auto" w:fill="auto"/>
            <w:vAlign w:val="bottom"/>
          </w:tcPr>
          <w:p w:rsidR="00454E11" w:rsidRPr="00454E11" w:rsidRDefault="00454E11" w:rsidP="00572DDE">
            <w:pPr>
              <w:rPr>
                <w:sz w:val="22"/>
                <w:szCs w:val="22"/>
              </w:rPr>
            </w:pPr>
            <w:r>
              <w:rPr>
                <w:sz w:val="22"/>
                <w:szCs w:val="22"/>
              </w:rPr>
              <w:t>Skupaj</w:t>
            </w:r>
          </w:p>
        </w:tc>
        <w:tc>
          <w:tcPr>
            <w:tcW w:w="1449" w:type="dxa"/>
            <w:shd w:val="clear" w:color="auto" w:fill="auto"/>
            <w:vAlign w:val="bottom"/>
          </w:tcPr>
          <w:p w:rsidR="00454E11" w:rsidRPr="00454E11" w:rsidRDefault="00454E11" w:rsidP="00572DDE">
            <w:pPr>
              <w:jc w:val="right"/>
              <w:rPr>
                <w:sz w:val="22"/>
                <w:szCs w:val="22"/>
              </w:rPr>
            </w:pPr>
            <w:r>
              <w:rPr>
                <w:sz w:val="22"/>
                <w:szCs w:val="22"/>
              </w:rPr>
              <w:t>600 €</w:t>
            </w:r>
          </w:p>
        </w:tc>
        <w:tc>
          <w:tcPr>
            <w:tcW w:w="1276" w:type="dxa"/>
            <w:shd w:val="clear" w:color="auto" w:fill="auto"/>
            <w:vAlign w:val="bottom"/>
          </w:tcPr>
          <w:p w:rsidR="00454E11" w:rsidRPr="00454E11" w:rsidRDefault="00454E11" w:rsidP="00572DDE">
            <w:pPr>
              <w:jc w:val="right"/>
              <w:rPr>
                <w:sz w:val="22"/>
                <w:szCs w:val="22"/>
              </w:rPr>
            </w:pPr>
            <w:r>
              <w:rPr>
                <w:sz w:val="22"/>
                <w:szCs w:val="22"/>
              </w:rPr>
              <w:t>600 €</w:t>
            </w:r>
          </w:p>
        </w:tc>
      </w:tr>
    </w:tbl>
    <w:p w:rsidR="00681D20" w:rsidRPr="00B2201F" w:rsidRDefault="00681D20" w:rsidP="00681D20">
      <w:pPr>
        <w:rPr>
          <w:sz w:val="22"/>
          <w:szCs w:val="22"/>
        </w:rPr>
      </w:pPr>
    </w:p>
    <w:p w:rsidR="00FF4AB1" w:rsidRDefault="00FF4AB1" w:rsidP="00FF4AB1">
      <w:pPr>
        <w:pStyle w:val="Napis"/>
        <w:keepNext/>
      </w:pPr>
      <w:bookmarkStart w:id="8" w:name="_Toc484612500"/>
      <w:r>
        <w:t xml:space="preserve">Tabela </w:t>
      </w:r>
      <w:fldSimple w:instr=" SEQ Tabela \* ARABIC ">
        <w:r w:rsidR="00C76CFF">
          <w:rPr>
            <w:noProof/>
          </w:rPr>
          <w:t>2</w:t>
        </w:r>
      </w:fldSimple>
      <w:r>
        <w:t xml:space="preserve"> Rebalans v primerjavi s sprejetimi proračunom za leto 2017 v €</w:t>
      </w:r>
      <w:bookmarkEnd w:id="8"/>
    </w:p>
    <w:tbl>
      <w:tblPr>
        <w:tblW w:w="8971" w:type="dxa"/>
        <w:tblInd w:w="55" w:type="dxa"/>
        <w:tblLayout w:type="fixed"/>
        <w:tblCellMar>
          <w:left w:w="70" w:type="dxa"/>
          <w:right w:w="70" w:type="dxa"/>
        </w:tblCellMar>
        <w:tblLook w:val="04A0" w:firstRow="1" w:lastRow="0" w:firstColumn="1" w:lastColumn="0" w:noHBand="0" w:noVBand="1"/>
      </w:tblPr>
      <w:tblGrid>
        <w:gridCol w:w="1181"/>
        <w:gridCol w:w="3218"/>
        <w:gridCol w:w="1712"/>
        <w:gridCol w:w="1559"/>
        <w:gridCol w:w="1301"/>
      </w:tblGrid>
      <w:tr w:rsidR="00681D20" w:rsidRPr="00B2201F" w:rsidTr="00237E15">
        <w:trPr>
          <w:trHeight w:val="147"/>
        </w:trPr>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D20" w:rsidRPr="00B2201F" w:rsidRDefault="00681D20" w:rsidP="00681D20">
            <w:pPr>
              <w:jc w:val="center"/>
              <w:rPr>
                <w:sz w:val="22"/>
                <w:szCs w:val="22"/>
              </w:rPr>
            </w:pPr>
            <w:r w:rsidRPr="00B2201F">
              <w:rPr>
                <w:sz w:val="22"/>
                <w:szCs w:val="22"/>
              </w:rPr>
              <w:t>SKUPINA</w:t>
            </w:r>
          </w:p>
        </w:tc>
        <w:tc>
          <w:tcPr>
            <w:tcW w:w="3218" w:type="dxa"/>
            <w:tcBorders>
              <w:top w:val="single" w:sz="4" w:space="0" w:color="auto"/>
              <w:left w:val="nil"/>
              <w:bottom w:val="single" w:sz="4" w:space="0" w:color="auto"/>
              <w:right w:val="single" w:sz="4" w:space="0" w:color="auto"/>
            </w:tcBorders>
            <w:shd w:val="clear" w:color="auto" w:fill="auto"/>
            <w:vAlign w:val="bottom"/>
            <w:hideMark/>
          </w:tcPr>
          <w:p w:rsidR="00681D20" w:rsidRPr="00B2201F" w:rsidRDefault="00681D20" w:rsidP="00681D20">
            <w:pPr>
              <w:jc w:val="center"/>
              <w:rPr>
                <w:sz w:val="22"/>
                <w:szCs w:val="22"/>
              </w:rPr>
            </w:pPr>
            <w:r w:rsidRPr="00B2201F">
              <w:rPr>
                <w:sz w:val="22"/>
                <w:szCs w:val="22"/>
              </w:rPr>
              <w:t>A. BILANCA PRIHODKOV IN</w:t>
            </w:r>
            <w:r w:rsidR="00E168DF" w:rsidRPr="00B2201F">
              <w:rPr>
                <w:sz w:val="22"/>
                <w:szCs w:val="22"/>
              </w:rPr>
              <w:t xml:space="preserve"> ODHODKOV v €</w:t>
            </w:r>
          </w:p>
        </w:tc>
        <w:tc>
          <w:tcPr>
            <w:tcW w:w="1712" w:type="dxa"/>
            <w:tcBorders>
              <w:top w:val="single" w:sz="4" w:space="0" w:color="auto"/>
              <w:left w:val="nil"/>
              <w:bottom w:val="single" w:sz="4" w:space="0" w:color="auto"/>
              <w:right w:val="single" w:sz="4" w:space="0" w:color="auto"/>
            </w:tcBorders>
            <w:shd w:val="clear" w:color="auto" w:fill="auto"/>
            <w:vAlign w:val="bottom"/>
            <w:hideMark/>
          </w:tcPr>
          <w:p w:rsidR="00681D20" w:rsidRPr="00B2201F" w:rsidRDefault="009021C5" w:rsidP="00681D20">
            <w:pPr>
              <w:jc w:val="center"/>
              <w:rPr>
                <w:sz w:val="22"/>
                <w:szCs w:val="22"/>
              </w:rPr>
            </w:pPr>
            <w:r w:rsidRPr="00B2201F">
              <w:rPr>
                <w:sz w:val="22"/>
                <w:szCs w:val="22"/>
              </w:rPr>
              <w:t>PRORAČUN 201</w:t>
            </w:r>
            <w:r w:rsidR="00E168DF" w:rsidRPr="00B2201F">
              <w:rPr>
                <w:sz w:val="22"/>
                <w:szCs w:val="22"/>
              </w:rPr>
              <w:t>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81D20" w:rsidRPr="00B2201F" w:rsidRDefault="009021C5" w:rsidP="00681D20">
            <w:pPr>
              <w:jc w:val="center"/>
              <w:rPr>
                <w:sz w:val="22"/>
                <w:szCs w:val="22"/>
              </w:rPr>
            </w:pPr>
            <w:r w:rsidRPr="00B2201F">
              <w:rPr>
                <w:sz w:val="22"/>
                <w:szCs w:val="22"/>
              </w:rPr>
              <w:t>REBALANS 201</w:t>
            </w:r>
            <w:r w:rsidR="00E168DF" w:rsidRPr="00B2201F">
              <w:rPr>
                <w:sz w:val="22"/>
                <w:szCs w:val="22"/>
              </w:rPr>
              <w:t>7</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681D20" w:rsidRPr="00B2201F" w:rsidRDefault="00681D20" w:rsidP="00681D20">
            <w:pPr>
              <w:jc w:val="center"/>
              <w:rPr>
                <w:sz w:val="22"/>
                <w:szCs w:val="22"/>
              </w:rPr>
            </w:pPr>
            <w:r w:rsidRPr="00B2201F">
              <w:rPr>
                <w:sz w:val="22"/>
                <w:szCs w:val="22"/>
              </w:rPr>
              <w:t xml:space="preserve">INDEKS REB/Proračun </w:t>
            </w:r>
          </w:p>
        </w:tc>
      </w:tr>
      <w:tr w:rsidR="00681D20" w:rsidRPr="00B2201F" w:rsidTr="00237E15">
        <w:trPr>
          <w:trHeight w:val="7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681D20" w:rsidRPr="00B2201F" w:rsidRDefault="00681D20" w:rsidP="00681D20">
            <w:pPr>
              <w:jc w:val="center"/>
              <w:rPr>
                <w:sz w:val="22"/>
                <w:szCs w:val="22"/>
              </w:rPr>
            </w:pPr>
            <w:r w:rsidRPr="00B2201F">
              <w:rPr>
                <w:sz w:val="22"/>
                <w:szCs w:val="22"/>
              </w:rPr>
              <w:t>I.</w:t>
            </w:r>
          </w:p>
        </w:tc>
        <w:tc>
          <w:tcPr>
            <w:tcW w:w="3218" w:type="dxa"/>
            <w:tcBorders>
              <w:top w:val="nil"/>
              <w:left w:val="nil"/>
              <w:bottom w:val="single" w:sz="4" w:space="0" w:color="auto"/>
              <w:right w:val="single" w:sz="4" w:space="0" w:color="auto"/>
            </w:tcBorders>
            <w:shd w:val="clear" w:color="auto" w:fill="auto"/>
            <w:vAlign w:val="bottom"/>
            <w:hideMark/>
          </w:tcPr>
          <w:p w:rsidR="00681D20" w:rsidRPr="00B2201F" w:rsidRDefault="00681D20" w:rsidP="00681D20">
            <w:pPr>
              <w:rPr>
                <w:sz w:val="22"/>
                <w:szCs w:val="22"/>
              </w:rPr>
            </w:pPr>
            <w:r w:rsidRPr="00B2201F">
              <w:rPr>
                <w:sz w:val="22"/>
                <w:szCs w:val="22"/>
              </w:rPr>
              <w:t>PRIHODKI</w:t>
            </w:r>
          </w:p>
        </w:tc>
        <w:tc>
          <w:tcPr>
            <w:tcW w:w="1712" w:type="dxa"/>
            <w:tcBorders>
              <w:top w:val="nil"/>
              <w:left w:val="nil"/>
              <w:bottom w:val="single" w:sz="4" w:space="0" w:color="auto"/>
              <w:right w:val="single" w:sz="4" w:space="0" w:color="auto"/>
            </w:tcBorders>
            <w:shd w:val="clear" w:color="auto" w:fill="auto"/>
            <w:noWrap/>
            <w:vAlign w:val="bottom"/>
            <w:hideMark/>
          </w:tcPr>
          <w:p w:rsidR="00681D20" w:rsidRPr="00B2201F" w:rsidRDefault="00B2047B" w:rsidP="00681D20">
            <w:pPr>
              <w:jc w:val="right"/>
              <w:rPr>
                <w:sz w:val="22"/>
                <w:szCs w:val="22"/>
              </w:rPr>
            </w:pPr>
            <w:r w:rsidRPr="00B2201F">
              <w:rPr>
                <w:sz w:val="22"/>
                <w:szCs w:val="22"/>
              </w:rPr>
              <w:t>8.092.607</w:t>
            </w:r>
          </w:p>
        </w:tc>
        <w:tc>
          <w:tcPr>
            <w:tcW w:w="1559" w:type="dxa"/>
            <w:tcBorders>
              <w:top w:val="nil"/>
              <w:left w:val="nil"/>
              <w:bottom w:val="single" w:sz="4" w:space="0" w:color="auto"/>
              <w:right w:val="single" w:sz="4" w:space="0" w:color="auto"/>
            </w:tcBorders>
            <w:shd w:val="clear" w:color="auto" w:fill="auto"/>
            <w:noWrap/>
            <w:vAlign w:val="bottom"/>
            <w:hideMark/>
          </w:tcPr>
          <w:p w:rsidR="00681D20" w:rsidRPr="00366083" w:rsidRDefault="00392FFF" w:rsidP="00237E15">
            <w:pPr>
              <w:jc w:val="right"/>
              <w:rPr>
                <w:sz w:val="22"/>
                <w:szCs w:val="22"/>
              </w:rPr>
            </w:pPr>
            <w:r>
              <w:rPr>
                <w:sz w:val="22"/>
                <w:szCs w:val="22"/>
              </w:rPr>
              <w:t>8.674.207</w:t>
            </w:r>
          </w:p>
        </w:tc>
        <w:tc>
          <w:tcPr>
            <w:tcW w:w="1301" w:type="dxa"/>
            <w:tcBorders>
              <w:top w:val="nil"/>
              <w:left w:val="nil"/>
              <w:bottom w:val="single" w:sz="4" w:space="0" w:color="auto"/>
              <w:right w:val="single" w:sz="4" w:space="0" w:color="auto"/>
            </w:tcBorders>
            <w:shd w:val="clear" w:color="auto" w:fill="auto"/>
            <w:noWrap/>
            <w:vAlign w:val="bottom"/>
          </w:tcPr>
          <w:p w:rsidR="00681D20" w:rsidRPr="00AD5324" w:rsidRDefault="00392FFF" w:rsidP="00366083">
            <w:pPr>
              <w:jc w:val="right"/>
              <w:rPr>
                <w:sz w:val="22"/>
                <w:szCs w:val="22"/>
              </w:rPr>
            </w:pPr>
            <w:r>
              <w:rPr>
                <w:sz w:val="22"/>
                <w:szCs w:val="22"/>
              </w:rPr>
              <w:t>107,2</w:t>
            </w:r>
          </w:p>
        </w:tc>
      </w:tr>
      <w:tr w:rsidR="00681D20" w:rsidRPr="00B2201F" w:rsidTr="00237E15">
        <w:trPr>
          <w:trHeight w:val="7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681D20" w:rsidRPr="00B2201F" w:rsidRDefault="00681D20" w:rsidP="00681D20">
            <w:pPr>
              <w:jc w:val="center"/>
              <w:rPr>
                <w:sz w:val="22"/>
                <w:szCs w:val="22"/>
              </w:rPr>
            </w:pPr>
            <w:r w:rsidRPr="00B2201F">
              <w:rPr>
                <w:sz w:val="22"/>
                <w:szCs w:val="22"/>
              </w:rPr>
              <w:t>II.</w:t>
            </w:r>
          </w:p>
        </w:tc>
        <w:tc>
          <w:tcPr>
            <w:tcW w:w="3218" w:type="dxa"/>
            <w:tcBorders>
              <w:top w:val="nil"/>
              <w:left w:val="nil"/>
              <w:bottom w:val="single" w:sz="4" w:space="0" w:color="auto"/>
              <w:right w:val="single" w:sz="4" w:space="0" w:color="auto"/>
            </w:tcBorders>
            <w:shd w:val="clear" w:color="auto" w:fill="auto"/>
            <w:vAlign w:val="bottom"/>
            <w:hideMark/>
          </w:tcPr>
          <w:p w:rsidR="00681D20" w:rsidRPr="00B2201F" w:rsidRDefault="00681D20" w:rsidP="00681D20">
            <w:pPr>
              <w:rPr>
                <w:sz w:val="22"/>
                <w:szCs w:val="22"/>
              </w:rPr>
            </w:pPr>
            <w:r w:rsidRPr="00B2201F">
              <w:rPr>
                <w:sz w:val="22"/>
                <w:szCs w:val="22"/>
              </w:rPr>
              <w:t>ODHODKI</w:t>
            </w:r>
          </w:p>
        </w:tc>
        <w:tc>
          <w:tcPr>
            <w:tcW w:w="1712" w:type="dxa"/>
            <w:tcBorders>
              <w:top w:val="nil"/>
              <w:left w:val="nil"/>
              <w:bottom w:val="single" w:sz="4" w:space="0" w:color="auto"/>
              <w:right w:val="single" w:sz="4" w:space="0" w:color="auto"/>
            </w:tcBorders>
            <w:shd w:val="clear" w:color="auto" w:fill="auto"/>
            <w:noWrap/>
            <w:vAlign w:val="bottom"/>
            <w:hideMark/>
          </w:tcPr>
          <w:p w:rsidR="00681D20" w:rsidRPr="00B2201F" w:rsidRDefault="00B2047B" w:rsidP="00681D20">
            <w:pPr>
              <w:jc w:val="right"/>
              <w:rPr>
                <w:sz w:val="22"/>
                <w:szCs w:val="22"/>
              </w:rPr>
            </w:pPr>
            <w:r w:rsidRPr="00B2201F">
              <w:rPr>
                <w:sz w:val="22"/>
                <w:szCs w:val="22"/>
              </w:rPr>
              <w:t>9.957.286</w:t>
            </w:r>
          </w:p>
        </w:tc>
        <w:tc>
          <w:tcPr>
            <w:tcW w:w="1559" w:type="dxa"/>
            <w:tcBorders>
              <w:top w:val="nil"/>
              <w:left w:val="nil"/>
              <w:bottom w:val="single" w:sz="4" w:space="0" w:color="auto"/>
              <w:right w:val="single" w:sz="4" w:space="0" w:color="auto"/>
            </w:tcBorders>
            <w:shd w:val="clear" w:color="auto" w:fill="auto"/>
            <w:noWrap/>
            <w:vAlign w:val="bottom"/>
            <w:hideMark/>
          </w:tcPr>
          <w:p w:rsidR="00681D20" w:rsidRPr="00366083" w:rsidRDefault="00AD5324" w:rsidP="00237E15">
            <w:pPr>
              <w:jc w:val="right"/>
              <w:rPr>
                <w:sz w:val="22"/>
                <w:szCs w:val="22"/>
              </w:rPr>
            </w:pPr>
            <w:r w:rsidRPr="00366083">
              <w:rPr>
                <w:sz w:val="22"/>
                <w:szCs w:val="22"/>
              </w:rPr>
              <w:t>12.</w:t>
            </w:r>
            <w:r w:rsidR="00366083" w:rsidRPr="00366083">
              <w:rPr>
                <w:sz w:val="22"/>
                <w:szCs w:val="22"/>
              </w:rPr>
              <w:t>100.</w:t>
            </w:r>
            <w:r w:rsidR="00237E15">
              <w:rPr>
                <w:sz w:val="22"/>
                <w:szCs w:val="22"/>
              </w:rPr>
              <w:t>651</w:t>
            </w:r>
          </w:p>
        </w:tc>
        <w:tc>
          <w:tcPr>
            <w:tcW w:w="1301" w:type="dxa"/>
            <w:tcBorders>
              <w:top w:val="nil"/>
              <w:left w:val="nil"/>
              <w:bottom w:val="single" w:sz="4" w:space="0" w:color="auto"/>
              <w:right w:val="single" w:sz="4" w:space="0" w:color="auto"/>
            </w:tcBorders>
            <w:shd w:val="clear" w:color="auto" w:fill="auto"/>
            <w:noWrap/>
            <w:vAlign w:val="bottom"/>
          </w:tcPr>
          <w:p w:rsidR="00681D20" w:rsidRPr="00AD5324" w:rsidRDefault="00AD5324" w:rsidP="00366083">
            <w:pPr>
              <w:jc w:val="right"/>
              <w:rPr>
                <w:sz w:val="22"/>
                <w:szCs w:val="22"/>
              </w:rPr>
            </w:pPr>
            <w:r w:rsidRPr="00AD5324">
              <w:rPr>
                <w:sz w:val="22"/>
                <w:szCs w:val="22"/>
              </w:rPr>
              <w:t>121,</w:t>
            </w:r>
            <w:r w:rsidR="00366083">
              <w:rPr>
                <w:sz w:val="22"/>
                <w:szCs w:val="22"/>
              </w:rPr>
              <w:t>5</w:t>
            </w:r>
          </w:p>
        </w:tc>
      </w:tr>
      <w:tr w:rsidR="00681D20" w:rsidRPr="00B2201F" w:rsidTr="00237E15">
        <w:trPr>
          <w:trHeight w:val="267"/>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681D20" w:rsidRPr="00B2201F" w:rsidRDefault="00681D20" w:rsidP="00681D20">
            <w:pPr>
              <w:jc w:val="center"/>
              <w:rPr>
                <w:sz w:val="22"/>
                <w:szCs w:val="22"/>
              </w:rPr>
            </w:pPr>
            <w:r w:rsidRPr="00B2201F">
              <w:rPr>
                <w:sz w:val="22"/>
                <w:szCs w:val="22"/>
              </w:rPr>
              <w:t>III.</w:t>
            </w:r>
          </w:p>
        </w:tc>
        <w:tc>
          <w:tcPr>
            <w:tcW w:w="3218" w:type="dxa"/>
            <w:tcBorders>
              <w:top w:val="nil"/>
              <w:left w:val="nil"/>
              <w:bottom w:val="single" w:sz="4" w:space="0" w:color="auto"/>
              <w:right w:val="single" w:sz="4" w:space="0" w:color="auto"/>
            </w:tcBorders>
            <w:shd w:val="clear" w:color="auto" w:fill="auto"/>
            <w:vAlign w:val="bottom"/>
            <w:hideMark/>
          </w:tcPr>
          <w:p w:rsidR="00681D20" w:rsidRPr="00B2201F" w:rsidRDefault="00681D20" w:rsidP="00681D20">
            <w:pPr>
              <w:rPr>
                <w:sz w:val="22"/>
                <w:szCs w:val="22"/>
              </w:rPr>
            </w:pPr>
            <w:r w:rsidRPr="00B2201F">
              <w:rPr>
                <w:sz w:val="22"/>
                <w:szCs w:val="22"/>
              </w:rPr>
              <w:t>PRORAČUNSKI PRIMANJKLJAJ</w:t>
            </w:r>
          </w:p>
        </w:tc>
        <w:tc>
          <w:tcPr>
            <w:tcW w:w="1712"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681D20">
            <w:pPr>
              <w:jc w:val="right"/>
              <w:rPr>
                <w:sz w:val="22"/>
                <w:szCs w:val="22"/>
              </w:rPr>
            </w:pPr>
            <w:r w:rsidRPr="00B2201F">
              <w:rPr>
                <w:sz w:val="22"/>
                <w:szCs w:val="22"/>
              </w:rPr>
              <w:t>-1.864.679</w:t>
            </w:r>
          </w:p>
        </w:tc>
        <w:tc>
          <w:tcPr>
            <w:tcW w:w="1559"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392FFF">
            <w:pPr>
              <w:jc w:val="right"/>
              <w:rPr>
                <w:sz w:val="22"/>
                <w:szCs w:val="22"/>
              </w:rPr>
            </w:pPr>
            <w:r w:rsidRPr="00B2201F">
              <w:rPr>
                <w:sz w:val="22"/>
                <w:szCs w:val="22"/>
              </w:rPr>
              <w:t>-</w:t>
            </w:r>
            <w:r w:rsidR="00392FFF">
              <w:rPr>
                <w:sz w:val="22"/>
                <w:szCs w:val="22"/>
              </w:rPr>
              <w:t>3.426.444</w:t>
            </w:r>
          </w:p>
        </w:tc>
        <w:tc>
          <w:tcPr>
            <w:tcW w:w="1301" w:type="dxa"/>
            <w:tcBorders>
              <w:top w:val="nil"/>
              <w:left w:val="nil"/>
              <w:bottom w:val="single" w:sz="4" w:space="0" w:color="auto"/>
              <w:right w:val="single" w:sz="4" w:space="0" w:color="auto"/>
            </w:tcBorders>
            <w:shd w:val="clear" w:color="auto" w:fill="auto"/>
            <w:noWrap/>
            <w:vAlign w:val="bottom"/>
          </w:tcPr>
          <w:p w:rsidR="00681D20" w:rsidRPr="00B2201F" w:rsidRDefault="00235236" w:rsidP="00681D20">
            <w:pPr>
              <w:jc w:val="right"/>
              <w:rPr>
                <w:sz w:val="22"/>
                <w:szCs w:val="22"/>
              </w:rPr>
            </w:pPr>
            <w:r>
              <w:rPr>
                <w:sz w:val="22"/>
                <w:szCs w:val="22"/>
              </w:rPr>
              <w:t>153,4</w:t>
            </w:r>
          </w:p>
        </w:tc>
      </w:tr>
      <w:tr w:rsidR="00681D20" w:rsidRPr="00B2201F" w:rsidTr="00237E15">
        <w:trPr>
          <w:trHeight w:val="658"/>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681D20" w:rsidRPr="00B2201F" w:rsidRDefault="00681D20" w:rsidP="00681D20">
            <w:pPr>
              <w:jc w:val="center"/>
              <w:rPr>
                <w:sz w:val="22"/>
                <w:szCs w:val="22"/>
              </w:rPr>
            </w:pPr>
            <w:r w:rsidRPr="00B2201F">
              <w:rPr>
                <w:sz w:val="22"/>
                <w:szCs w:val="22"/>
              </w:rPr>
              <w:t>IV.</w:t>
            </w:r>
          </w:p>
        </w:tc>
        <w:tc>
          <w:tcPr>
            <w:tcW w:w="3218" w:type="dxa"/>
            <w:tcBorders>
              <w:top w:val="nil"/>
              <w:left w:val="nil"/>
              <w:bottom w:val="single" w:sz="4" w:space="0" w:color="auto"/>
              <w:right w:val="single" w:sz="4" w:space="0" w:color="auto"/>
            </w:tcBorders>
            <w:shd w:val="clear" w:color="auto" w:fill="auto"/>
            <w:vAlign w:val="bottom"/>
            <w:hideMark/>
          </w:tcPr>
          <w:p w:rsidR="00681D20" w:rsidRPr="00B2201F" w:rsidRDefault="00681D20" w:rsidP="00681D20">
            <w:pPr>
              <w:rPr>
                <w:sz w:val="22"/>
                <w:szCs w:val="22"/>
              </w:rPr>
            </w:pPr>
            <w:r w:rsidRPr="00B2201F">
              <w:rPr>
                <w:sz w:val="22"/>
                <w:szCs w:val="22"/>
              </w:rPr>
              <w:t>PREJETA VRAČILA DANIH POSOJIL IN PRODAJA KAPITALSKIH DELEŽEV</w:t>
            </w:r>
          </w:p>
        </w:tc>
        <w:tc>
          <w:tcPr>
            <w:tcW w:w="1712"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681D20">
            <w:pPr>
              <w:jc w:val="right"/>
              <w:rPr>
                <w:sz w:val="22"/>
                <w:szCs w:val="22"/>
              </w:rPr>
            </w:pPr>
            <w:r w:rsidRPr="00B2201F">
              <w:rPr>
                <w:sz w:val="22"/>
                <w:szCs w:val="22"/>
              </w:rPr>
              <w:t>257.703</w:t>
            </w:r>
          </w:p>
        </w:tc>
        <w:tc>
          <w:tcPr>
            <w:tcW w:w="1559"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681D20">
            <w:pPr>
              <w:jc w:val="right"/>
              <w:rPr>
                <w:sz w:val="22"/>
                <w:szCs w:val="22"/>
              </w:rPr>
            </w:pPr>
            <w:r w:rsidRPr="00B2201F">
              <w:rPr>
                <w:sz w:val="22"/>
                <w:szCs w:val="22"/>
              </w:rPr>
              <w:t>257.703</w:t>
            </w:r>
          </w:p>
        </w:tc>
        <w:tc>
          <w:tcPr>
            <w:tcW w:w="1301" w:type="dxa"/>
            <w:tcBorders>
              <w:top w:val="nil"/>
              <w:left w:val="nil"/>
              <w:bottom w:val="single" w:sz="4" w:space="0" w:color="auto"/>
              <w:right w:val="single" w:sz="4" w:space="0" w:color="auto"/>
            </w:tcBorders>
            <w:shd w:val="clear" w:color="auto" w:fill="auto"/>
            <w:noWrap/>
            <w:vAlign w:val="bottom"/>
          </w:tcPr>
          <w:p w:rsidR="00681D20" w:rsidRPr="00B2201F" w:rsidRDefault="00FE6E2C" w:rsidP="00681D20">
            <w:pPr>
              <w:jc w:val="right"/>
              <w:rPr>
                <w:sz w:val="22"/>
                <w:szCs w:val="22"/>
              </w:rPr>
            </w:pPr>
            <w:r w:rsidRPr="00B2201F">
              <w:rPr>
                <w:sz w:val="22"/>
                <w:szCs w:val="22"/>
              </w:rPr>
              <w:t>100</w:t>
            </w:r>
            <w:r w:rsidR="00F43830">
              <w:rPr>
                <w:sz w:val="22"/>
                <w:szCs w:val="22"/>
              </w:rPr>
              <w:t>,0</w:t>
            </w:r>
          </w:p>
        </w:tc>
      </w:tr>
      <w:tr w:rsidR="00681D20" w:rsidRPr="00B2201F" w:rsidTr="00237E15">
        <w:trPr>
          <w:trHeight w:val="649"/>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681D20" w:rsidRPr="00B2201F" w:rsidRDefault="00681D20" w:rsidP="00681D20">
            <w:pPr>
              <w:jc w:val="center"/>
              <w:rPr>
                <w:sz w:val="22"/>
                <w:szCs w:val="22"/>
              </w:rPr>
            </w:pPr>
            <w:r w:rsidRPr="00B2201F">
              <w:rPr>
                <w:sz w:val="22"/>
                <w:szCs w:val="22"/>
              </w:rPr>
              <w:t>V.</w:t>
            </w:r>
          </w:p>
        </w:tc>
        <w:tc>
          <w:tcPr>
            <w:tcW w:w="3218" w:type="dxa"/>
            <w:tcBorders>
              <w:top w:val="nil"/>
              <w:left w:val="nil"/>
              <w:bottom w:val="single" w:sz="4" w:space="0" w:color="auto"/>
              <w:right w:val="single" w:sz="4" w:space="0" w:color="auto"/>
            </w:tcBorders>
            <w:shd w:val="clear" w:color="auto" w:fill="auto"/>
            <w:vAlign w:val="bottom"/>
            <w:hideMark/>
          </w:tcPr>
          <w:p w:rsidR="00681D20" w:rsidRPr="00B2201F" w:rsidRDefault="00681D20" w:rsidP="00681D20">
            <w:pPr>
              <w:rPr>
                <w:sz w:val="22"/>
                <w:szCs w:val="22"/>
              </w:rPr>
            </w:pPr>
            <w:r w:rsidRPr="00B2201F">
              <w:rPr>
                <w:sz w:val="22"/>
                <w:szCs w:val="22"/>
              </w:rPr>
              <w:t>DANA POSOJILA IN POVEČANJE KAPITALSKIH DELEŽEV</w:t>
            </w:r>
          </w:p>
        </w:tc>
        <w:tc>
          <w:tcPr>
            <w:tcW w:w="1712"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681D20">
            <w:pPr>
              <w:jc w:val="right"/>
              <w:rPr>
                <w:sz w:val="22"/>
                <w:szCs w:val="22"/>
              </w:rPr>
            </w:pPr>
            <w:r w:rsidRPr="00B2201F">
              <w:rPr>
                <w:sz w:val="22"/>
                <w:szCs w:val="22"/>
              </w:rPr>
              <w:t>1.000.000</w:t>
            </w:r>
          </w:p>
        </w:tc>
        <w:tc>
          <w:tcPr>
            <w:tcW w:w="1559"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681D20">
            <w:pPr>
              <w:jc w:val="right"/>
              <w:rPr>
                <w:sz w:val="22"/>
                <w:szCs w:val="22"/>
              </w:rPr>
            </w:pPr>
            <w:r w:rsidRPr="00B2201F">
              <w:rPr>
                <w:sz w:val="22"/>
                <w:szCs w:val="22"/>
              </w:rPr>
              <w:t>5.000</w:t>
            </w:r>
          </w:p>
        </w:tc>
        <w:tc>
          <w:tcPr>
            <w:tcW w:w="1301" w:type="dxa"/>
            <w:tcBorders>
              <w:top w:val="nil"/>
              <w:left w:val="nil"/>
              <w:bottom w:val="single" w:sz="4" w:space="0" w:color="auto"/>
              <w:right w:val="single" w:sz="4" w:space="0" w:color="auto"/>
            </w:tcBorders>
            <w:shd w:val="clear" w:color="auto" w:fill="auto"/>
            <w:noWrap/>
            <w:vAlign w:val="bottom"/>
          </w:tcPr>
          <w:p w:rsidR="00681D20" w:rsidRPr="00B2201F" w:rsidRDefault="00FE6E2C" w:rsidP="00681D20">
            <w:pPr>
              <w:jc w:val="right"/>
              <w:rPr>
                <w:sz w:val="22"/>
                <w:szCs w:val="22"/>
              </w:rPr>
            </w:pPr>
            <w:r w:rsidRPr="00B2201F">
              <w:rPr>
                <w:sz w:val="22"/>
                <w:szCs w:val="22"/>
              </w:rPr>
              <w:t>0,5</w:t>
            </w:r>
          </w:p>
        </w:tc>
      </w:tr>
      <w:tr w:rsidR="00681D20" w:rsidRPr="00B2201F" w:rsidTr="00237E15">
        <w:trPr>
          <w:trHeight w:val="66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681D20" w:rsidRPr="00B2201F" w:rsidRDefault="00681D20" w:rsidP="00681D20">
            <w:pPr>
              <w:jc w:val="center"/>
              <w:rPr>
                <w:sz w:val="22"/>
                <w:szCs w:val="22"/>
              </w:rPr>
            </w:pPr>
            <w:r w:rsidRPr="00B2201F">
              <w:rPr>
                <w:sz w:val="22"/>
                <w:szCs w:val="22"/>
              </w:rPr>
              <w:t>VI.</w:t>
            </w:r>
          </w:p>
        </w:tc>
        <w:tc>
          <w:tcPr>
            <w:tcW w:w="3218" w:type="dxa"/>
            <w:tcBorders>
              <w:top w:val="nil"/>
              <w:left w:val="nil"/>
              <w:bottom w:val="single" w:sz="4" w:space="0" w:color="auto"/>
              <w:right w:val="single" w:sz="4" w:space="0" w:color="auto"/>
            </w:tcBorders>
            <w:shd w:val="clear" w:color="auto" w:fill="auto"/>
            <w:vAlign w:val="bottom"/>
            <w:hideMark/>
          </w:tcPr>
          <w:p w:rsidR="00681D20" w:rsidRPr="00B2201F" w:rsidRDefault="00681D20" w:rsidP="00681D20">
            <w:pPr>
              <w:rPr>
                <w:sz w:val="22"/>
                <w:szCs w:val="22"/>
              </w:rPr>
            </w:pPr>
            <w:r w:rsidRPr="00B2201F">
              <w:rPr>
                <w:sz w:val="22"/>
                <w:szCs w:val="22"/>
              </w:rPr>
              <w:t>PREJETA MINUS DANA POSOJILA IN SPREMEMBE KAPITALSKIH DELEŽEV</w:t>
            </w:r>
          </w:p>
        </w:tc>
        <w:tc>
          <w:tcPr>
            <w:tcW w:w="1712"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681D20">
            <w:pPr>
              <w:jc w:val="right"/>
              <w:rPr>
                <w:sz w:val="22"/>
                <w:szCs w:val="22"/>
              </w:rPr>
            </w:pPr>
            <w:r w:rsidRPr="00B2201F">
              <w:rPr>
                <w:sz w:val="22"/>
                <w:szCs w:val="22"/>
              </w:rPr>
              <w:t>-742.297</w:t>
            </w:r>
          </w:p>
        </w:tc>
        <w:tc>
          <w:tcPr>
            <w:tcW w:w="1559"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681D20">
            <w:pPr>
              <w:jc w:val="right"/>
              <w:rPr>
                <w:sz w:val="22"/>
                <w:szCs w:val="22"/>
              </w:rPr>
            </w:pPr>
            <w:r w:rsidRPr="00B2201F">
              <w:rPr>
                <w:sz w:val="22"/>
                <w:szCs w:val="22"/>
              </w:rPr>
              <w:t>252.703</w:t>
            </w:r>
          </w:p>
        </w:tc>
        <w:tc>
          <w:tcPr>
            <w:tcW w:w="1301" w:type="dxa"/>
            <w:tcBorders>
              <w:top w:val="nil"/>
              <w:left w:val="nil"/>
              <w:bottom w:val="single" w:sz="4" w:space="0" w:color="auto"/>
              <w:right w:val="single" w:sz="4" w:space="0" w:color="auto"/>
            </w:tcBorders>
            <w:shd w:val="clear" w:color="auto" w:fill="auto"/>
            <w:noWrap/>
            <w:vAlign w:val="bottom"/>
          </w:tcPr>
          <w:p w:rsidR="00681D20" w:rsidRPr="00B2201F" w:rsidRDefault="00681D20" w:rsidP="00681D20">
            <w:pPr>
              <w:jc w:val="right"/>
              <w:rPr>
                <w:sz w:val="22"/>
                <w:szCs w:val="22"/>
              </w:rPr>
            </w:pPr>
          </w:p>
        </w:tc>
      </w:tr>
      <w:tr w:rsidR="00681D20" w:rsidRPr="00B2201F" w:rsidTr="00237E15">
        <w:trPr>
          <w:trHeight w:val="34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681D20" w:rsidRPr="00B2201F" w:rsidRDefault="00681D20" w:rsidP="00681D20">
            <w:pPr>
              <w:jc w:val="center"/>
              <w:rPr>
                <w:sz w:val="22"/>
                <w:szCs w:val="22"/>
              </w:rPr>
            </w:pPr>
            <w:r w:rsidRPr="00B2201F">
              <w:rPr>
                <w:sz w:val="22"/>
                <w:szCs w:val="22"/>
              </w:rPr>
              <w:t>VII.</w:t>
            </w:r>
          </w:p>
        </w:tc>
        <w:tc>
          <w:tcPr>
            <w:tcW w:w="3218" w:type="dxa"/>
            <w:tcBorders>
              <w:top w:val="nil"/>
              <w:left w:val="nil"/>
              <w:bottom w:val="single" w:sz="4" w:space="0" w:color="auto"/>
              <w:right w:val="single" w:sz="4" w:space="0" w:color="auto"/>
            </w:tcBorders>
            <w:shd w:val="clear" w:color="auto" w:fill="auto"/>
            <w:vAlign w:val="bottom"/>
            <w:hideMark/>
          </w:tcPr>
          <w:p w:rsidR="00681D20" w:rsidRPr="00B2201F" w:rsidRDefault="00681D20" w:rsidP="00681D20">
            <w:pPr>
              <w:rPr>
                <w:sz w:val="22"/>
                <w:szCs w:val="22"/>
              </w:rPr>
            </w:pPr>
            <w:r w:rsidRPr="00B2201F">
              <w:rPr>
                <w:sz w:val="22"/>
                <w:szCs w:val="22"/>
              </w:rPr>
              <w:t>ZADOLŽEVANJE</w:t>
            </w:r>
          </w:p>
        </w:tc>
        <w:tc>
          <w:tcPr>
            <w:tcW w:w="1712" w:type="dxa"/>
            <w:tcBorders>
              <w:top w:val="nil"/>
              <w:left w:val="nil"/>
              <w:bottom w:val="single" w:sz="4" w:space="0" w:color="auto"/>
              <w:right w:val="single" w:sz="4" w:space="0" w:color="auto"/>
            </w:tcBorders>
            <w:shd w:val="clear" w:color="auto" w:fill="auto"/>
            <w:noWrap/>
            <w:vAlign w:val="bottom"/>
            <w:hideMark/>
          </w:tcPr>
          <w:p w:rsidR="00681D20" w:rsidRPr="00B2201F" w:rsidRDefault="00FE6E2C" w:rsidP="00681D20">
            <w:pPr>
              <w:jc w:val="right"/>
              <w:rPr>
                <w:sz w:val="22"/>
                <w:szCs w:val="22"/>
              </w:rPr>
            </w:pPr>
            <w:r w:rsidRPr="00B2201F">
              <w:rPr>
                <w:sz w:val="22"/>
                <w:szCs w:val="22"/>
              </w:rPr>
              <w:t>1.400.000</w:t>
            </w:r>
          </w:p>
        </w:tc>
        <w:tc>
          <w:tcPr>
            <w:tcW w:w="1559" w:type="dxa"/>
            <w:tcBorders>
              <w:top w:val="nil"/>
              <w:left w:val="nil"/>
              <w:bottom w:val="single" w:sz="4" w:space="0" w:color="auto"/>
              <w:right w:val="single" w:sz="4" w:space="0" w:color="auto"/>
            </w:tcBorders>
            <w:shd w:val="clear" w:color="auto" w:fill="auto"/>
            <w:noWrap/>
            <w:vAlign w:val="bottom"/>
            <w:hideMark/>
          </w:tcPr>
          <w:p w:rsidR="00681D20" w:rsidRPr="00B2201F" w:rsidRDefault="00392FFF" w:rsidP="00681D20">
            <w:pPr>
              <w:jc w:val="right"/>
              <w:rPr>
                <w:sz w:val="22"/>
                <w:szCs w:val="22"/>
              </w:rPr>
            </w:pPr>
            <w:r>
              <w:rPr>
                <w:sz w:val="22"/>
                <w:szCs w:val="22"/>
              </w:rPr>
              <w:t>1.0</w:t>
            </w:r>
            <w:r w:rsidR="00FE6E2C" w:rsidRPr="00B2201F">
              <w:rPr>
                <w:sz w:val="22"/>
                <w:szCs w:val="22"/>
              </w:rPr>
              <w:t>00.000</w:t>
            </w:r>
          </w:p>
        </w:tc>
        <w:tc>
          <w:tcPr>
            <w:tcW w:w="1301" w:type="dxa"/>
            <w:tcBorders>
              <w:top w:val="nil"/>
              <w:left w:val="nil"/>
              <w:bottom w:val="single" w:sz="4" w:space="0" w:color="auto"/>
              <w:right w:val="single" w:sz="4" w:space="0" w:color="auto"/>
            </w:tcBorders>
            <w:shd w:val="clear" w:color="auto" w:fill="auto"/>
            <w:noWrap/>
            <w:vAlign w:val="bottom"/>
          </w:tcPr>
          <w:p w:rsidR="00681D20" w:rsidRPr="00B2201F" w:rsidRDefault="003946E9" w:rsidP="009021C5">
            <w:pPr>
              <w:jc w:val="right"/>
              <w:rPr>
                <w:sz w:val="22"/>
                <w:szCs w:val="22"/>
              </w:rPr>
            </w:pPr>
            <w:r>
              <w:rPr>
                <w:sz w:val="22"/>
                <w:szCs w:val="22"/>
              </w:rPr>
              <w:t>71,4</w:t>
            </w:r>
          </w:p>
        </w:tc>
      </w:tr>
      <w:tr w:rsidR="00FE6E2C" w:rsidRPr="00B2201F" w:rsidTr="00237E15">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E6E2C" w:rsidRPr="00B2201F" w:rsidRDefault="00FE6E2C" w:rsidP="00681D20">
            <w:pPr>
              <w:jc w:val="center"/>
              <w:rPr>
                <w:sz w:val="22"/>
                <w:szCs w:val="22"/>
              </w:rPr>
            </w:pPr>
            <w:r w:rsidRPr="00B2201F">
              <w:rPr>
                <w:sz w:val="22"/>
                <w:szCs w:val="22"/>
              </w:rPr>
              <w:t>IX.</w:t>
            </w:r>
          </w:p>
        </w:tc>
        <w:tc>
          <w:tcPr>
            <w:tcW w:w="3218" w:type="dxa"/>
            <w:tcBorders>
              <w:top w:val="nil"/>
              <w:left w:val="nil"/>
              <w:bottom w:val="single" w:sz="4" w:space="0" w:color="auto"/>
              <w:right w:val="single" w:sz="4" w:space="0" w:color="auto"/>
            </w:tcBorders>
            <w:shd w:val="clear" w:color="auto" w:fill="auto"/>
            <w:vAlign w:val="bottom"/>
            <w:hideMark/>
          </w:tcPr>
          <w:p w:rsidR="00FE6E2C" w:rsidRPr="00B2201F" w:rsidRDefault="00FE6E2C" w:rsidP="00681D20">
            <w:pPr>
              <w:rPr>
                <w:sz w:val="22"/>
                <w:szCs w:val="22"/>
              </w:rPr>
            </w:pPr>
            <w:r w:rsidRPr="00B2201F">
              <w:rPr>
                <w:sz w:val="22"/>
                <w:szCs w:val="22"/>
              </w:rPr>
              <w:t xml:space="preserve">SPREMEMBA STANJA </w:t>
            </w:r>
            <w:r w:rsidRPr="00B2201F">
              <w:rPr>
                <w:sz w:val="22"/>
                <w:szCs w:val="22"/>
              </w:rPr>
              <w:lastRenderedPageBreak/>
              <w:t>SREDSTEV NA RAČUNU</w:t>
            </w:r>
          </w:p>
        </w:tc>
        <w:tc>
          <w:tcPr>
            <w:tcW w:w="1712" w:type="dxa"/>
            <w:tcBorders>
              <w:top w:val="nil"/>
              <w:left w:val="nil"/>
              <w:bottom w:val="single" w:sz="4" w:space="0" w:color="auto"/>
              <w:right w:val="single" w:sz="4" w:space="0" w:color="auto"/>
            </w:tcBorders>
            <w:shd w:val="clear" w:color="auto" w:fill="auto"/>
            <w:noWrap/>
            <w:vAlign w:val="bottom"/>
            <w:hideMark/>
          </w:tcPr>
          <w:p w:rsidR="00FE6E2C" w:rsidRPr="00B2201F" w:rsidRDefault="00FE6E2C" w:rsidP="00681D20">
            <w:pPr>
              <w:jc w:val="right"/>
              <w:rPr>
                <w:sz w:val="22"/>
                <w:szCs w:val="22"/>
              </w:rPr>
            </w:pPr>
            <w:r w:rsidRPr="00B2201F">
              <w:rPr>
                <w:sz w:val="22"/>
                <w:szCs w:val="22"/>
              </w:rPr>
              <w:lastRenderedPageBreak/>
              <w:t>-1.206.976</w:t>
            </w:r>
          </w:p>
        </w:tc>
        <w:tc>
          <w:tcPr>
            <w:tcW w:w="1559" w:type="dxa"/>
            <w:tcBorders>
              <w:top w:val="nil"/>
              <w:left w:val="nil"/>
              <w:bottom w:val="single" w:sz="4" w:space="0" w:color="auto"/>
              <w:right w:val="single" w:sz="4" w:space="0" w:color="auto"/>
            </w:tcBorders>
            <w:shd w:val="clear" w:color="auto" w:fill="auto"/>
            <w:noWrap/>
            <w:vAlign w:val="bottom"/>
            <w:hideMark/>
          </w:tcPr>
          <w:p w:rsidR="00FE6E2C" w:rsidRPr="00B2201F" w:rsidRDefault="00FE6E2C" w:rsidP="00392FFF">
            <w:pPr>
              <w:jc w:val="right"/>
              <w:rPr>
                <w:sz w:val="22"/>
                <w:szCs w:val="22"/>
              </w:rPr>
            </w:pPr>
            <w:r w:rsidRPr="00B2201F">
              <w:rPr>
                <w:sz w:val="22"/>
                <w:szCs w:val="22"/>
              </w:rPr>
              <w:t>-</w:t>
            </w:r>
            <w:r w:rsidR="00392FFF">
              <w:rPr>
                <w:sz w:val="22"/>
                <w:szCs w:val="22"/>
              </w:rPr>
              <w:t>2.173.741</w:t>
            </w:r>
          </w:p>
        </w:tc>
        <w:tc>
          <w:tcPr>
            <w:tcW w:w="1301" w:type="dxa"/>
            <w:tcBorders>
              <w:top w:val="nil"/>
              <w:left w:val="nil"/>
              <w:bottom w:val="single" w:sz="4" w:space="0" w:color="auto"/>
              <w:right w:val="single" w:sz="4" w:space="0" w:color="auto"/>
            </w:tcBorders>
            <w:shd w:val="clear" w:color="auto" w:fill="auto"/>
            <w:noWrap/>
            <w:vAlign w:val="bottom"/>
          </w:tcPr>
          <w:p w:rsidR="00FE6E2C" w:rsidRPr="00B2201F" w:rsidRDefault="00392FFF" w:rsidP="009021C5">
            <w:pPr>
              <w:jc w:val="right"/>
              <w:rPr>
                <w:sz w:val="22"/>
                <w:szCs w:val="22"/>
              </w:rPr>
            </w:pPr>
            <w:r>
              <w:rPr>
                <w:sz w:val="22"/>
                <w:szCs w:val="22"/>
              </w:rPr>
              <w:t>180,1</w:t>
            </w:r>
          </w:p>
        </w:tc>
      </w:tr>
      <w:tr w:rsidR="00FE6E2C" w:rsidRPr="00B2201F" w:rsidTr="00237E15">
        <w:trPr>
          <w:trHeight w:val="317"/>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E6E2C" w:rsidRPr="00B2201F" w:rsidRDefault="00FE6E2C" w:rsidP="00681D20">
            <w:pPr>
              <w:jc w:val="center"/>
              <w:rPr>
                <w:sz w:val="22"/>
                <w:szCs w:val="22"/>
              </w:rPr>
            </w:pPr>
            <w:r w:rsidRPr="00B2201F">
              <w:rPr>
                <w:sz w:val="22"/>
                <w:szCs w:val="22"/>
              </w:rPr>
              <w:lastRenderedPageBreak/>
              <w:t>X.</w:t>
            </w:r>
          </w:p>
        </w:tc>
        <w:tc>
          <w:tcPr>
            <w:tcW w:w="3218" w:type="dxa"/>
            <w:tcBorders>
              <w:top w:val="nil"/>
              <w:left w:val="nil"/>
              <w:bottom w:val="single" w:sz="4" w:space="0" w:color="auto"/>
              <w:right w:val="single" w:sz="4" w:space="0" w:color="auto"/>
            </w:tcBorders>
            <w:shd w:val="clear" w:color="auto" w:fill="auto"/>
            <w:vAlign w:val="bottom"/>
            <w:hideMark/>
          </w:tcPr>
          <w:p w:rsidR="00FE6E2C" w:rsidRPr="00B2201F" w:rsidRDefault="00FE6E2C" w:rsidP="00681D20">
            <w:pPr>
              <w:rPr>
                <w:sz w:val="22"/>
                <w:szCs w:val="22"/>
              </w:rPr>
            </w:pPr>
            <w:r w:rsidRPr="00B2201F">
              <w:rPr>
                <w:sz w:val="22"/>
                <w:szCs w:val="22"/>
              </w:rPr>
              <w:t>NETO ZADOLŽEVANJE</w:t>
            </w:r>
          </w:p>
        </w:tc>
        <w:tc>
          <w:tcPr>
            <w:tcW w:w="1712" w:type="dxa"/>
            <w:tcBorders>
              <w:top w:val="nil"/>
              <w:left w:val="nil"/>
              <w:bottom w:val="single" w:sz="4" w:space="0" w:color="auto"/>
              <w:right w:val="single" w:sz="4" w:space="0" w:color="auto"/>
            </w:tcBorders>
            <w:shd w:val="clear" w:color="auto" w:fill="auto"/>
            <w:noWrap/>
            <w:vAlign w:val="bottom"/>
            <w:hideMark/>
          </w:tcPr>
          <w:p w:rsidR="00FE6E2C" w:rsidRPr="00B2201F" w:rsidRDefault="00FE6E2C" w:rsidP="00681D20">
            <w:pPr>
              <w:jc w:val="right"/>
              <w:rPr>
                <w:sz w:val="22"/>
                <w:szCs w:val="22"/>
              </w:rPr>
            </w:pPr>
            <w:r w:rsidRPr="00B2201F">
              <w:rPr>
                <w:sz w:val="22"/>
                <w:szCs w:val="22"/>
              </w:rPr>
              <w:t>1.400.000</w:t>
            </w:r>
          </w:p>
        </w:tc>
        <w:tc>
          <w:tcPr>
            <w:tcW w:w="1559" w:type="dxa"/>
            <w:tcBorders>
              <w:top w:val="nil"/>
              <w:left w:val="nil"/>
              <w:bottom w:val="single" w:sz="4" w:space="0" w:color="auto"/>
              <w:right w:val="single" w:sz="4" w:space="0" w:color="auto"/>
            </w:tcBorders>
            <w:shd w:val="clear" w:color="auto" w:fill="auto"/>
            <w:noWrap/>
            <w:vAlign w:val="bottom"/>
            <w:hideMark/>
          </w:tcPr>
          <w:p w:rsidR="00FE6E2C" w:rsidRPr="00B2201F" w:rsidRDefault="00392FFF" w:rsidP="00681D20">
            <w:pPr>
              <w:jc w:val="right"/>
              <w:rPr>
                <w:sz w:val="22"/>
                <w:szCs w:val="22"/>
              </w:rPr>
            </w:pPr>
            <w:r>
              <w:rPr>
                <w:sz w:val="22"/>
                <w:szCs w:val="22"/>
              </w:rPr>
              <w:t>1.0</w:t>
            </w:r>
            <w:r w:rsidR="00FE6E2C" w:rsidRPr="00B2201F">
              <w:rPr>
                <w:sz w:val="22"/>
                <w:szCs w:val="22"/>
              </w:rPr>
              <w:t>00.000</w:t>
            </w:r>
          </w:p>
        </w:tc>
        <w:tc>
          <w:tcPr>
            <w:tcW w:w="1301" w:type="dxa"/>
            <w:tcBorders>
              <w:top w:val="nil"/>
              <w:left w:val="nil"/>
              <w:bottom w:val="single" w:sz="4" w:space="0" w:color="auto"/>
              <w:right w:val="single" w:sz="4" w:space="0" w:color="auto"/>
            </w:tcBorders>
            <w:shd w:val="clear" w:color="auto" w:fill="auto"/>
            <w:noWrap/>
            <w:vAlign w:val="bottom"/>
          </w:tcPr>
          <w:p w:rsidR="00FE6E2C" w:rsidRPr="00B2201F" w:rsidRDefault="00392FFF" w:rsidP="00681D20">
            <w:pPr>
              <w:jc w:val="right"/>
              <w:rPr>
                <w:sz w:val="22"/>
                <w:szCs w:val="22"/>
              </w:rPr>
            </w:pPr>
            <w:r>
              <w:rPr>
                <w:sz w:val="22"/>
                <w:szCs w:val="22"/>
              </w:rPr>
              <w:t>71,4</w:t>
            </w:r>
          </w:p>
        </w:tc>
      </w:tr>
      <w:tr w:rsidR="00661B24" w:rsidRPr="00B2201F" w:rsidTr="00237E15">
        <w:trPr>
          <w:trHeight w:val="183"/>
        </w:trPr>
        <w:tc>
          <w:tcPr>
            <w:tcW w:w="1181" w:type="dxa"/>
            <w:tcBorders>
              <w:top w:val="nil"/>
              <w:left w:val="single" w:sz="4" w:space="0" w:color="auto"/>
              <w:bottom w:val="single" w:sz="4" w:space="0" w:color="auto"/>
              <w:right w:val="single" w:sz="4" w:space="0" w:color="auto"/>
            </w:tcBorders>
            <w:shd w:val="clear" w:color="auto" w:fill="auto"/>
            <w:noWrap/>
            <w:vAlign w:val="bottom"/>
          </w:tcPr>
          <w:p w:rsidR="00661B24" w:rsidRPr="00B2201F" w:rsidRDefault="00A66332" w:rsidP="00681D20">
            <w:pPr>
              <w:jc w:val="center"/>
              <w:rPr>
                <w:sz w:val="22"/>
                <w:szCs w:val="22"/>
              </w:rPr>
            </w:pPr>
            <w:r>
              <w:rPr>
                <w:sz w:val="22"/>
                <w:szCs w:val="22"/>
              </w:rPr>
              <w:t>XI.</w:t>
            </w:r>
          </w:p>
        </w:tc>
        <w:tc>
          <w:tcPr>
            <w:tcW w:w="3218" w:type="dxa"/>
            <w:tcBorders>
              <w:top w:val="nil"/>
              <w:left w:val="nil"/>
              <w:bottom w:val="single" w:sz="4" w:space="0" w:color="auto"/>
              <w:right w:val="single" w:sz="4" w:space="0" w:color="auto"/>
            </w:tcBorders>
            <w:shd w:val="clear" w:color="auto" w:fill="auto"/>
            <w:vAlign w:val="bottom"/>
          </w:tcPr>
          <w:p w:rsidR="00661B24" w:rsidRPr="00B2201F" w:rsidRDefault="00A66332" w:rsidP="00681D20">
            <w:pPr>
              <w:rPr>
                <w:sz w:val="22"/>
                <w:szCs w:val="22"/>
              </w:rPr>
            </w:pPr>
            <w:r>
              <w:rPr>
                <w:sz w:val="22"/>
                <w:szCs w:val="22"/>
              </w:rPr>
              <w:t>NETO FINANCIRANJE</w:t>
            </w:r>
          </w:p>
        </w:tc>
        <w:tc>
          <w:tcPr>
            <w:tcW w:w="1712" w:type="dxa"/>
            <w:tcBorders>
              <w:top w:val="nil"/>
              <w:left w:val="nil"/>
              <w:bottom w:val="single" w:sz="4" w:space="0" w:color="auto"/>
              <w:right w:val="single" w:sz="4" w:space="0" w:color="auto"/>
            </w:tcBorders>
            <w:shd w:val="clear" w:color="auto" w:fill="auto"/>
            <w:noWrap/>
            <w:vAlign w:val="bottom"/>
          </w:tcPr>
          <w:p w:rsidR="00661B24" w:rsidRPr="00B2201F" w:rsidRDefault="00A66332" w:rsidP="00681D20">
            <w:pPr>
              <w:jc w:val="right"/>
              <w:rPr>
                <w:sz w:val="22"/>
                <w:szCs w:val="22"/>
              </w:rPr>
            </w:pPr>
            <w:r>
              <w:rPr>
                <w:sz w:val="22"/>
                <w:szCs w:val="22"/>
              </w:rPr>
              <w:t>1.864.679</w:t>
            </w:r>
          </w:p>
        </w:tc>
        <w:tc>
          <w:tcPr>
            <w:tcW w:w="1559" w:type="dxa"/>
            <w:tcBorders>
              <w:top w:val="nil"/>
              <w:left w:val="nil"/>
              <w:bottom w:val="single" w:sz="4" w:space="0" w:color="auto"/>
              <w:right w:val="single" w:sz="4" w:space="0" w:color="auto"/>
            </w:tcBorders>
            <w:shd w:val="clear" w:color="auto" w:fill="auto"/>
            <w:noWrap/>
            <w:vAlign w:val="bottom"/>
          </w:tcPr>
          <w:p w:rsidR="00661B24" w:rsidRDefault="00A66332" w:rsidP="00681D20">
            <w:pPr>
              <w:jc w:val="right"/>
              <w:rPr>
                <w:sz w:val="22"/>
                <w:szCs w:val="22"/>
              </w:rPr>
            </w:pPr>
            <w:r>
              <w:rPr>
                <w:sz w:val="22"/>
                <w:szCs w:val="22"/>
              </w:rPr>
              <w:t>3.426.444</w:t>
            </w:r>
          </w:p>
        </w:tc>
        <w:tc>
          <w:tcPr>
            <w:tcW w:w="1301" w:type="dxa"/>
            <w:tcBorders>
              <w:top w:val="nil"/>
              <w:left w:val="nil"/>
              <w:bottom w:val="single" w:sz="4" w:space="0" w:color="auto"/>
              <w:right w:val="single" w:sz="4" w:space="0" w:color="auto"/>
            </w:tcBorders>
            <w:shd w:val="clear" w:color="auto" w:fill="auto"/>
            <w:noWrap/>
            <w:vAlign w:val="bottom"/>
          </w:tcPr>
          <w:p w:rsidR="00661B24" w:rsidRDefault="00A66332" w:rsidP="009021C5">
            <w:pPr>
              <w:jc w:val="right"/>
              <w:rPr>
                <w:sz w:val="22"/>
                <w:szCs w:val="22"/>
              </w:rPr>
            </w:pPr>
            <w:r>
              <w:rPr>
                <w:sz w:val="22"/>
                <w:szCs w:val="22"/>
              </w:rPr>
              <w:t>183,8</w:t>
            </w:r>
          </w:p>
        </w:tc>
      </w:tr>
      <w:tr w:rsidR="00FE6E2C" w:rsidRPr="00B2201F" w:rsidTr="00237E15">
        <w:trPr>
          <w:trHeight w:val="183"/>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E6E2C" w:rsidRPr="00B2201F" w:rsidRDefault="00FE6E2C" w:rsidP="00681D20">
            <w:pPr>
              <w:jc w:val="center"/>
              <w:rPr>
                <w:sz w:val="22"/>
                <w:szCs w:val="22"/>
              </w:rPr>
            </w:pPr>
            <w:r w:rsidRPr="00B2201F">
              <w:rPr>
                <w:sz w:val="22"/>
                <w:szCs w:val="22"/>
              </w:rPr>
              <w:t>XI</w:t>
            </w:r>
            <w:r w:rsidR="00A66332">
              <w:rPr>
                <w:sz w:val="22"/>
                <w:szCs w:val="22"/>
              </w:rPr>
              <w:t>I</w:t>
            </w:r>
            <w:r w:rsidRPr="00B2201F">
              <w:rPr>
                <w:sz w:val="22"/>
                <w:szCs w:val="22"/>
              </w:rPr>
              <w:t>.</w:t>
            </w:r>
          </w:p>
        </w:tc>
        <w:tc>
          <w:tcPr>
            <w:tcW w:w="3218" w:type="dxa"/>
            <w:tcBorders>
              <w:top w:val="nil"/>
              <w:left w:val="nil"/>
              <w:bottom w:val="single" w:sz="4" w:space="0" w:color="auto"/>
              <w:right w:val="single" w:sz="4" w:space="0" w:color="auto"/>
            </w:tcBorders>
            <w:shd w:val="clear" w:color="auto" w:fill="auto"/>
            <w:vAlign w:val="bottom"/>
            <w:hideMark/>
          </w:tcPr>
          <w:p w:rsidR="00FE6E2C" w:rsidRPr="00B2201F" w:rsidRDefault="00A66332" w:rsidP="00681D20">
            <w:pPr>
              <w:rPr>
                <w:sz w:val="22"/>
                <w:szCs w:val="22"/>
              </w:rPr>
            </w:pPr>
            <w:r>
              <w:rPr>
                <w:sz w:val="22"/>
                <w:szCs w:val="22"/>
              </w:rPr>
              <w:t>STANJE SREDSTEV NA RAČ</w:t>
            </w:r>
            <w:r w:rsidR="00DD0D18">
              <w:rPr>
                <w:sz w:val="22"/>
                <w:szCs w:val="22"/>
              </w:rPr>
              <w:t>UNU DNE 31.12.2016</w:t>
            </w:r>
            <w:r>
              <w:rPr>
                <w:sz w:val="22"/>
                <w:szCs w:val="22"/>
              </w:rPr>
              <w:t>.</w:t>
            </w:r>
          </w:p>
        </w:tc>
        <w:tc>
          <w:tcPr>
            <w:tcW w:w="1712" w:type="dxa"/>
            <w:tcBorders>
              <w:top w:val="nil"/>
              <w:left w:val="nil"/>
              <w:bottom w:val="single" w:sz="4" w:space="0" w:color="auto"/>
              <w:right w:val="single" w:sz="4" w:space="0" w:color="auto"/>
            </w:tcBorders>
            <w:shd w:val="clear" w:color="auto" w:fill="auto"/>
            <w:noWrap/>
            <w:vAlign w:val="bottom"/>
            <w:hideMark/>
          </w:tcPr>
          <w:p w:rsidR="00FE6E2C" w:rsidRPr="00B2201F" w:rsidRDefault="00A66332" w:rsidP="00681D20">
            <w:pPr>
              <w:jc w:val="right"/>
              <w:rPr>
                <w:sz w:val="22"/>
                <w:szCs w:val="22"/>
              </w:rPr>
            </w:pPr>
            <w:r>
              <w:rPr>
                <w:sz w:val="22"/>
                <w:szCs w:val="22"/>
              </w:rPr>
              <w:t>1.206.976</w:t>
            </w:r>
          </w:p>
        </w:tc>
        <w:tc>
          <w:tcPr>
            <w:tcW w:w="1559" w:type="dxa"/>
            <w:tcBorders>
              <w:top w:val="nil"/>
              <w:left w:val="nil"/>
              <w:bottom w:val="single" w:sz="4" w:space="0" w:color="auto"/>
              <w:right w:val="single" w:sz="4" w:space="0" w:color="auto"/>
            </w:tcBorders>
            <w:shd w:val="clear" w:color="auto" w:fill="auto"/>
            <w:noWrap/>
            <w:vAlign w:val="bottom"/>
            <w:hideMark/>
          </w:tcPr>
          <w:p w:rsidR="00FE6E2C" w:rsidRPr="00B2201F" w:rsidRDefault="00A66332" w:rsidP="00681D20">
            <w:pPr>
              <w:jc w:val="right"/>
              <w:rPr>
                <w:sz w:val="22"/>
                <w:szCs w:val="22"/>
              </w:rPr>
            </w:pPr>
            <w:r>
              <w:rPr>
                <w:sz w:val="22"/>
                <w:szCs w:val="22"/>
              </w:rPr>
              <w:t>2.173.741</w:t>
            </w:r>
          </w:p>
        </w:tc>
        <w:tc>
          <w:tcPr>
            <w:tcW w:w="1301" w:type="dxa"/>
            <w:tcBorders>
              <w:top w:val="nil"/>
              <w:left w:val="nil"/>
              <w:bottom w:val="single" w:sz="4" w:space="0" w:color="auto"/>
              <w:right w:val="single" w:sz="4" w:space="0" w:color="auto"/>
            </w:tcBorders>
            <w:shd w:val="clear" w:color="auto" w:fill="auto"/>
            <w:noWrap/>
            <w:vAlign w:val="bottom"/>
          </w:tcPr>
          <w:p w:rsidR="00FE6E2C" w:rsidRPr="00B2201F" w:rsidRDefault="00FE6E2C" w:rsidP="009021C5">
            <w:pPr>
              <w:jc w:val="right"/>
              <w:rPr>
                <w:sz w:val="22"/>
                <w:szCs w:val="22"/>
              </w:rPr>
            </w:pPr>
          </w:p>
        </w:tc>
      </w:tr>
    </w:tbl>
    <w:p w:rsidR="00F432E2" w:rsidRDefault="00F432E2" w:rsidP="00F432E2">
      <w:pPr>
        <w:rPr>
          <w:sz w:val="22"/>
          <w:szCs w:val="22"/>
        </w:rPr>
      </w:pPr>
    </w:p>
    <w:p w:rsidR="004634F0" w:rsidRDefault="004634F0" w:rsidP="004634F0">
      <w:pPr>
        <w:jc w:val="both"/>
        <w:rPr>
          <w:sz w:val="22"/>
          <w:szCs w:val="22"/>
        </w:rPr>
      </w:pPr>
      <w:r w:rsidRPr="00B2201F">
        <w:rPr>
          <w:sz w:val="22"/>
          <w:szCs w:val="22"/>
        </w:rPr>
        <w:t xml:space="preserve">V bilanci prihodkov in odhodkov je izkazan presežek odhodkov nad prihodki v vrednosti </w:t>
      </w:r>
      <w:r w:rsidR="009F4C06">
        <w:rPr>
          <w:sz w:val="22"/>
          <w:szCs w:val="22"/>
        </w:rPr>
        <w:t>3.426.444</w:t>
      </w:r>
      <w:r w:rsidRPr="00B2201F">
        <w:rPr>
          <w:sz w:val="22"/>
          <w:szCs w:val="22"/>
        </w:rPr>
        <w:t xml:space="preserve"> </w:t>
      </w:r>
      <w:r>
        <w:rPr>
          <w:sz w:val="22"/>
          <w:szCs w:val="22"/>
        </w:rPr>
        <w:t>€</w:t>
      </w:r>
      <w:r w:rsidRPr="00B2201F">
        <w:rPr>
          <w:sz w:val="22"/>
          <w:szCs w:val="22"/>
        </w:rPr>
        <w:t>, razlika iz</w:t>
      </w:r>
      <w:r w:rsidR="00A31847">
        <w:rPr>
          <w:sz w:val="22"/>
          <w:szCs w:val="22"/>
        </w:rPr>
        <w:t xml:space="preserve">kazuje proračunski primanjkljaj, </w:t>
      </w:r>
      <w:r w:rsidR="00A31847" w:rsidRPr="00B2201F">
        <w:rPr>
          <w:sz w:val="22"/>
          <w:szCs w:val="22"/>
        </w:rPr>
        <w:t>ki bo nadomeščen</w:t>
      </w:r>
      <w:r w:rsidR="00A26C8C">
        <w:rPr>
          <w:sz w:val="22"/>
          <w:szCs w:val="22"/>
        </w:rPr>
        <w:t>a</w:t>
      </w:r>
      <w:r w:rsidR="00A31847" w:rsidRPr="00B2201F">
        <w:rPr>
          <w:sz w:val="22"/>
          <w:szCs w:val="22"/>
        </w:rPr>
        <w:t xml:space="preserve"> iz sredstev</w:t>
      </w:r>
      <w:r w:rsidR="00A26C8C">
        <w:rPr>
          <w:sz w:val="22"/>
          <w:szCs w:val="22"/>
        </w:rPr>
        <w:t xml:space="preserve"> ki so</w:t>
      </w:r>
      <w:r w:rsidR="00A31847" w:rsidRPr="00B2201F">
        <w:rPr>
          <w:sz w:val="22"/>
          <w:szCs w:val="22"/>
        </w:rPr>
        <w:t xml:space="preserve"> na računih iz preteklih let</w:t>
      </w:r>
      <w:r w:rsidR="00A31847">
        <w:rPr>
          <w:sz w:val="22"/>
          <w:szCs w:val="22"/>
        </w:rPr>
        <w:t>, sredstev najetega posojila in</w:t>
      </w:r>
      <w:r w:rsidR="0079348A">
        <w:rPr>
          <w:sz w:val="22"/>
          <w:szCs w:val="22"/>
        </w:rPr>
        <w:t xml:space="preserve"> iz sredstev</w:t>
      </w:r>
      <w:r w:rsidR="00A26C8C">
        <w:rPr>
          <w:sz w:val="22"/>
          <w:szCs w:val="22"/>
        </w:rPr>
        <w:t xml:space="preserve"> prejetih kupnin</w:t>
      </w:r>
      <w:r w:rsidR="00A31847">
        <w:rPr>
          <w:sz w:val="22"/>
          <w:szCs w:val="22"/>
        </w:rPr>
        <w:t xml:space="preserve"> kapitalskih deležev.</w:t>
      </w:r>
    </w:p>
    <w:p w:rsidR="004634F0" w:rsidRPr="00B2201F" w:rsidRDefault="004634F0" w:rsidP="00F432E2">
      <w:pPr>
        <w:rPr>
          <w:sz w:val="22"/>
          <w:szCs w:val="22"/>
        </w:rPr>
      </w:pPr>
    </w:p>
    <w:p w:rsidR="00C259FA" w:rsidRPr="00B2201F" w:rsidRDefault="00082127" w:rsidP="00D8570C">
      <w:pPr>
        <w:pStyle w:val="Naslov2"/>
        <w:rPr>
          <w:szCs w:val="22"/>
        </w:rPr>
      </w:pPr>
      <w:bookmarkStart w:id="9" w:name="_Toc484687246"/>
      <w:r w:rsidRPr="00B2201F">
        <w:rPr>
          <w:szCs w:val="22"/>
        </w:rPr>
        <w:t>PRIHODKI PRORAČUNA</w:t>
      </w:r>
      <w:bookmarkEnd w:id="9"/>
    </w:p>
    <w:p w:rsidR="00C259FA" w:rsidRPr="00B2201F" w:rsidRDefault="00C259FA" w:rsidP="00C259FA">
      <w:pPr>
        <w:jc w:val="both"/>
        <w:rPr>
          <w:sz w:val="22"/>
          <w:szCs w:val="22"/>
        </w:rPr>
      </w:pPr>
    </w:p>
    <w:p w:rsidR="0007410C" w:rsidRPr="00366083" w:rsidRDefault="00C259FA" w:rsidP="009D7356">
      <w:pPr>
        <w:pStyle w:val="Telobesedila2"/>
        <w:rPr>
          <w:sz w:val="22"/>
          <w:szCs w:val="22"/>
        </w:rPr>
      </w:pPr>
      <w:r w:rsidRPr="00366083">
        <w:rPr>
          <w:sz w:val="22"/>
          <w:szCs w:val="22"/>
        </w:rPr>
        <w:t xml:space="preserve">Vrednost prihodkov znaša skupaj </w:t>
      </w:r>
      <w:r w:rsidR="0024313F">
        <w:rPr>
          <w:sz w:val="22"/>
          <w:szCs w:val="22"/>
        </w:rPr>
        <w:t>8.674.207</w:t>
      </w:r>
      <w:r w:rsidR="000D142B" w:rsidRPr="00366083">
        <w:rPr>
          <w:sz w:val="22"/>
          <w:szCs w:val="22"/>
        </w:rPr>
        <w:t xml:space="preserve"> </w:t>
      </w:r>
      <w:r w:rsidR="009021C5" w:rsidRPr="00366083">
        <w:rPr>
          <w:sz w:val="22"/>
          <w:szCs w:val="22"/>
        </w:rPr>
        <w:t>€</w:t>
      </w:r>
      <w:r w:rsidR="009D7356" w:rsidRPr="00366083">
        <w:rPr>
          <w:sz w:val="22"/>
          <w:szCs w:val="22"/>
        </w:rPr>
        <w:t xml:space="preserve">. </w:t>
      </w:r>
    </w:p>
    <w:p w:rsidR="0007410C" w:rsidRPr="00366083" w:rsidRDefault="0007410C" w:rsidP="009D7356">
      <w:pPr>
        <w:pStyle w:val="Telobesedila2"/>
        <w:rPr>
          <w:sz w:val="22"/>
          <w:szCs w:val="22"/>
        </w:rPr>
      </w:pPr>
    </w:p>
    <w:p w:rsidR="00AA6F4D" w:rsidRPr="00B2201F" w:rsidRDefault="009021C5" w:rsidP="009D7356">
      <w:pPr>
        <w:pStyle w:val="Telobesedila2"/>
        <w:rPr>
          <w:sz w:val="22"/>
          <w:szCs w:val="22"/>
        </w:rPr>
      </w:pPr>
      <w:r w:rsidRPr="00366083">
        <w:rPr>
          <w:sz w:val="22"/>
          <w:szCs w:val="22"/>
        </w:rPr>
        <w:t>Prihodki se povečajo</w:t>
      </w:r>
      <w:r w:rsidR="00AA6F4D" w:rsidRPr="00366083">
        <w:rPr>
          <w:sz w:val="22"/>
          <w:szCs w:val="22"/>
        </w:rPr>
        <w:t xml:space="preserve"> za </w:t>
      </w:r>
      <w:r w:rsidR="0024313F">
        <w:rPr>
          <w:sz w:val="22"/>
          <w:szCs w:val="22"/>
        </w:rPr>
        <w:t>7,2</w:t>
      </w:r>
      <w:r w:rsidR="00AA6F4D" w:rsidRPr="00366083">
        <w:rPr>
          <w:sz w:val="22"/>
          <w:szCs w:val="22"/>
        </w:rPr>
        <w:t xml:space="preserve"> odstotne točke ali </w:t>
      </w:r>
      <w:r w:rsidR="0024313F">
        <w:rPr>
          <w:sz w:val="22"/>
          <w:szCs w:val="22"/>
        </w:rPr>
        <w:t>581.600</w:t>
      </w:r>
      <w:r w:rsidR="00270A61" w:rsidRPr="00366083">
        <w:rPr>
          <w:sz w:val="22"/>
          <w:szCs w:val="22"/>
        </w:rPr>
        <w:t xml:space="preserve"> </w:t>
      </w:r>
      <w:r w:rsidRPr="00366083">
        <w:rPr>
          <w:sz w:val="22"/>
          <w:szCs w:val="22"/>
        </w:rPr>
        <w:t>€</w:t>
      </w:r>
      <w:r w:rsidR="00AA6F4D" w:rsidRPr="00366083">
        <w:rPr>
          <w:sz w:val="22"/>
          <w:szCs w:val="22"/>
        </w:rPr>
        <w:t>.</w:t>
      </w:r>
    </w:p>
    <w:p w:rsidR="00AA6F4D" w:rsidRPr="00B2201F" w:rsidRDefault="00AA6F4D" w:rsidP="009D7356">
      <w:pPr>
        <w:pStyle w:val="Telobesedila2"/>
        <w:rPr>
          <w:sz w:val="22"/>
          <w:szCs w:val="22"/>
        </w:rPr>
      </w:pPr>
    </w:p>
    <w:p w:rsidR="00FF4AB1" w:rsidRDefault="00FF4AB1" w:rsidP="00FF4AB1">
      <w:pPr>
        <w:pStyle w:val="Napis"/>
        <w:keepNext/>
      </w:pPr>
      <w:bookmarkStart w:id="10" w:name="_Toc484612501"/>
      <w:r>
        <w:t xml:space="preserve">Tabela </w:t>
      </w:r>
      <w:fldSimple w:instr=" SEQ Tabela \* ARABIC ">
        <w:r w:rsidR="00C76CFF">
          <w:rPr>
            <w:noProof/>
          </w:rPr>
          <w:t>3</w:t>
        </w:r>
      </w:fldSimple>
      <w:r>
        <w:t xml:space="preserve"> Primerjava prihodkov v rebalansu proračuna v primerjavi s sprejetim proračunom v €</w:t>
      </w:r>
      <w:bookmarkEnd w:id="10"/>
    </w:p>
    <w:tbl>
      <w:tblPr>
        <w:tblW w:w="8860" w:type="dxa"/>
        <w:tblInd w:w="75" w:type="dxa"/>
        <w:tblCellMar>
          <w:left w:w="70" w:type="dxa"/>
          <w:right w:w="70" w:type="dxa"/>
        </w:tblCellMar>
        <w:tblLook w:val="04A0" w:firstRow="1" w:lastRow="0" w:firstColumn="1" w:lastColumn="0" w:noHBand="0" w:noVBand="1"/>
      </w:tblPr>
      <w:tblGrid>
        <w:gridCol w:w="2880"/>
        <w:gridCol w:w="1480"/>
        <w:gridCol w:w="960"/>
        <w:gridCol w:w="1500"/>
        <w:gridCol w:w="960"/>
        <w:gridCol w:w="1080"/>
      </w:tblGrid>
      <w:tr w:rsidR="00EB4971" w:rsidRPr="00B2201F" w:rsidTr="00EB4971">
        <w:trPr>
          <w:trHeight w:val="600"/>
        </w:trPr>
        <w:tc>
          <w:tcPr>
            <w:tcW w:w="288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B4971" w:rsidRPr="00B2201F" w:rsidRDefault="00EB4971" w:rsidP="00EB4971">
            <w:pPr>
              <w:rPr>
                <w:b/>
                <w:bCs/>
                <w:color w:val="3F3F3F"/>
                <w:sz w:val="22"/>
                <w:szCs w:val="22"/>
              </w:rPr>
            </w:pPr>
            <w:r w:rsidRPr="00B2201F">
              <w:rPr>
                <w:b/>
                <w:bCs/>
                <w:color w:val="3F3F3F"/>
                <w:sz w:val="22"/>
                <w:szCs w:val="22"/>
              </w:rPr>
              <w:t>VRSTA PRIHODKA</w:t>
            </w:r>
          </w:p>
        </w:tc>
        <w:tc>
          <w:tcPr>
            <w:tcW w:w="1480" w:type="dxa"/>
            <w:tcBorders>
              <w:top w:val="single" w:sz="4" w:space="0" w:color="3F3F3F"/>
              <w:left w:val="nil"/>
              <w:bottom w:val="single" w:sz="4" w:space="0" w:color="3F3F3F"/>
              <w:right w:val="single" w:sz="4" w:space="0" w:color="3F3F3F"/>
            </w:tcBorders>
            <w:shd w:val="clear" w:color="000000" w:fill="F2F2F2"/>
            <w:vAlign w:val="bottom"/>
            <w:hideMark/>
          </w:tcPr>
          <w:p w:rsidR="00EB4971" w:rsidRPr="00B2201F" w:rsidRDefault="00EB4971" w:rsidP="00EB4971">
            <w:pPr>
              <w:jc w:val="center"/>
              <w:rPr>
                <w:b/>
                <w:bCs/>
                <w:color w:val="3F3F3F"/>
                <w:sz w:val="22"/>
                <w:szCs w:val="22"/>
              </w:rPr>
            </w:pPr>
            <w:r w:rsidRPr="00B2201F">
              <w:rPr>
                <w:b/>
                <w:bCs/>
                <w:color w:val="3F3F3F"/>
                <w:sz w:val="22"/>
                <w:szCs w:val="22"/>
              </w:rPr>
              <w:t>Sprejeti proračun</w:t>
            </w:r>
          </w:p>
        </w:tc>
        <w:tc>
          <w:tcPr>
            <w:tcW w:w="960" w:type="dxa"/>
            <w:tcBorders>
              <w:top w:val="single" w:sz="4" w:space="0" w:color="3F3F3F"/>
              <w:left w:val="nil"/>
              <w:bottom w:val="single" w:sz="4" w:space="0" w:color="3F3F3F"/>
              <w:right w:val="single" w:sz="4" w:space="0" w:color="3F3F3F"/>
            </w:tcBorders>
            <w:shd w:val="clear" w:color="000000" w:fill="F2F2F2"/>
            <w:vAlign w:val="bottom"/>
            <w:hideMark/>
          </w:tcPr>
          <w:p w:rsidR="00EB4971" w:rsidRPr="00B2201F" w:rsidRDefault="00EB4971" w:rsidP="00EB4971">
            <w:pPr>
              <w:jc w:val="center"/>
              <w:rPr>
                <w:b/>
                <w:bCs/>
                <w:color w:val="3F3F3F"/>
                <w:sz w:val="22"/>
                <w:szCs w:val="22"/>
              </w:rPr>
            </w:pPr>
            <w:r w:rsidRPr="00B2201F">
              <w:rPr>
                <w:b/>
                <w:bCs/>
                <w:color w:val="3F3F3F"/>
                <w:sz w:val="22"/>
                <w:szCs w:val="22"/>
              </w:rPr>
              <w:t>Delež</w:t>
            </w:r>
          </w:p>
        </w:tc>
        <w:tc>
          <w:tcPr>
            <w:tcW w:w="1500" w:type="dxa"/>
            <w:tcBorders>
              <w:top w:val="single" w:sz="4" w:space="0" w:color="3F3F3F"/>
              <w:left w:val="nil"/>
              <w:bottom w:val="single" w:sz="4" w:space="0" w:color="3F3F3F"/>
              <w:right w:val="single" w:sz="4" w:space="0" w:color="3F3F3F"/>
            </w:tcBorders>
            <w:shd w:val="clear" w:color="000000" w:fill="F2F2F2"/>
            <w:vAlign w:val="bottom"/>
            <w:hideMark/>
          </w:tcPr>
          <w:p w:rsidR="00EB4971" w:rsidRPr="00B2201F" w:rsidRDefault="00EB4971" w:rsidP="00EB4971">
            <w:pPr>
              <w:jc w:val="center"/>
              <w:rPr>
                <w:b/>
                <w:bCs/>
                <w:color w:val="3F3F3F"/>
                <w:sz w:val="22"/>
                <w:szCs w:val="22"/>
              </w:rPr>
            </w:pPr>
            <w:r w:rsidRPr="00B2201F">
              <w:rPr>
                <w:b/>
                <w:bCs/>
                <w:color w:val="3F3F3F"/>
                <w:sz w:val="22"/>
                <w:szCs w:val="22"/>
              </w:rPr>
              <w:t>Rebalans</w:t>
            </w:r>
          </w:p>
        </w:tc>
        <w:tc>
          <w:tcPr>
            <w:tcW w:w="960" w:type="dxa"/>
            <w:tcBorders>
              <w:top w:val="single" w:sz="4" w:space="0" w:color="3F3F3F"/>
              <w:left w:val="nil"/>
              <w:bottom w:val="single" w:sz="4" w:space="0" w:color="3F3F3F"/>
              <w:right w:val="single" w:sz="4" w:space="0" w:color="3F3F3F"/>
            </w:tcBorders>
            <w:shd w:val="clear" w:color="000000" w:fill="F2F2F2"/>
            <w:vAlign w:val="bottom"/>
            <w:hideMark/>
          </w:tcPr>
          <w:p w:rsidR="00EB4971" w:rsidRPr="00B2201F" w:rsidRDefault="00EB4971" w:rsidP="00EB4971">
            <w:pPr>
              <w:jc w:val="center"/>
              <w:rPr>
                <w:b/>
                <w:bCs/>
                <w:color w:val="3F3F3F"/>
                <w:sz w:val="22"/>
                <w:szCs w:val="22"/>
              </w:rPr>
            </w:pPr>
            <w:r w:rsidRPr="00B2201F">
              <w:rPr>
                <w:b/>
                <w:bCs/>
                <w:color w:val="3F3F3F"/>
                <w:sz w:val="22"/>
                <w:szCs w:val="22"/>
              </w:rPr>
              <w:t>Delež</w:t>
            </w:r>
          </w:p>
        </w:tc>
        <w:tc>
          <w:tcPr>
            <w:tcW w:w="1080" w:type="dxa"/>
            <w:tcBorders>
              <w:top w:val="single" w:sz="4" w:space="0" w:color="3F3F3F"/>
              <w:left w:val="nil"/>
              <w:bottom w:val="single" w:sz="4" w:space="0" w:color="3F3F3F"/>
              <w:right w:val="single" w:sz="4" w:space="0" w:color="3F3F3F"/>
            </w:tcBorders>
            <w:shd w:val="clear" w:color="000000" w:fill="F2F2F2"/>
            <w:vAlign w:val="bottom"/>
            <w:hideMark/>
          </w:tcPr>
          <w:p w:rsidR="00EB4971" w:rsidRPr="00B2201F" w:rsidRDefault="00EB4971" w:rsidP="00EB4971">
            <w:pPr>
              <w:jc w:val="center"/>
              <w:rPr>
                <w:b/>
                <w:bCs/>
                <w:color w:val="3F3F3F"/>
                <w:sz w:val="22"/>
                <w:szCs w:val="22"/>
              </w:rPr>
            </w:pPr>
            <w:r w:rsidRPr="00B2201F">
              <w:rPr>
                <w:b/>
                <w:bCs/>
                <w:color w:val="3F3F3F"/>
                <w:sz w:val="22"/>
                <w:szCs w:val="22"/>
              </w:rPr>
              <w:t>Indeks</w:t>
            </w:r>
          </w:p>
        </w:tc>
      </w:tr>
      <w:tr w:rsidR="00EB4971" w:rsidRPr="00B2201F" w:rsidTr="00EB4971">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EB4971" w:rsidRPr="00B2201F" w:rsidRDefault="00EB4971" w:rsidP="00EB4971">
            <w:pPr>
              <w:rPr>
                <w:b/>
                <w:bCs/>
                <w:color w:val="3F3F3F"/>
                <w:sz w:val="22"/>
                <w:szCs w:val="22"/>
              </w:rPr>
            </w:pPr>
            <w:r w:rsidRPr="00B2201F">
              <w:rPr>
                <w:b/>
                <w:bCs/>
                <w:color w:val="3F3F3F"/>
                <w:sz w:val="22"/>
                <w:szCs w:val="22"/>
              </w:rPr>
              <w:t>DAVČNI PRIHODKI</w:t>
            </w:r>
          </w:p>
        </w:tc>
        <w:tc>
          <w:tcPr>
            <w:tcW w:w="1480" w:type="dxa"/>
            <w:tcBorders>
              <w:top w:val="nil"/>
              <w:left w:val="nil"/>
              <w:bottom w:val="single" w:sz="4" w:space="0" w:color="3F3F3F"/>
              <w:right w:val="single" w:sz="4" w:space="0" w:color="3F3F3F"/>
            </w:tcBorders>
            <w:shd w:val="clear" w:color="000000" w:fill="F2F2F2"/>
            <w:noWrap/>
            <w:vAlign w:val="bottom"/>
            <w:hideMark/>
          </w:tcPr>
          <w:p w:rsidR="00EB4971" w:rsidRPr="00B2201F" w:rsidRDefault="00235236" w:rsidP="00EB4971">
            <w:pPr>
              <w:jc w:val="right"/>
              <w:rPr>
                <w:b/>
                <w:bCs/>
                <w:color w:val="3F3F3F"/>
                <w:sz w:val="22"/>
                <w:szCs w:val="22"/>
              </w:rPr>
            </w:pPr>
            <w:r>
              <w:rPr>
                <w:b/>
                <w:bCs/>
                <w:color w:val="3F3F3F"/>
                <w:sz w:val="22"/>
                <w:szCs w:val="22"/>
              </w:rPr>
              <w:t>5.441.639</w:t>
            </w:r>
          </w:p>
        </w:tc>
        <w:tc>
          <w:tcPr>
            <w:tcW w:w="960" w:type="dxa"/>
            <w:tcBorders>
              <w:top w:val="nil"/>
              <w:left w:val="nil"/>
              <w:bottom w:val="single" w:sz="4" w:space="0" w:color="3F3F3F"/>
              <w:right w:val="single" w:sz="4" w:space="0" w:color="3F3F3F"/>
            </w:tcBorders>
            <w:shd w:val="clear" w:color="000000" w:fill="F2F2F2"/>
            <w:noWrap/>
            <w:vAlign w:val="bottom"/>
            <w:hideMark/>
          </w:tcPr>
          <w:p w:rsidR="00EB4971" w:rsidRPr="00B2201F" w:rsidRDefault="00EB4971" w:rsidP="00EB4971">
            <w:pPr>
              <w:jc w:val="right"/>
              <w:rPr>
                <w:b/>
                <w:bCs/>
                <w:color w:val="3F3F3F"/>
                <w:sz w:val="22"/>
                <w:szCs w:val="22"/>
              </w:rPr>
            </w:pPr>
            <w:r w:rsidRPr="00B2201F">
              <w:rPr>
                <w:b/>
                <w:bCs/>
                <w:color w:val="3F3F3F"/>
                <w:sz w:val="22"/>
                <w:szCs w:val="22"/>
              </w:rPr>
              <w:t>60,51</w:t>
            </w:r>
          </w:p>
        </w:tc>
        <w:tc>
          <w:tcPr>
            <w:tcW w:w="1500" w:type="dxa"/>
            <w:tcBorders>
              <w:top w:val="nil"/>
              <w:left w:val="nil"/>
              <w:bottom w:val="single" w:sz="4" w:space="0" w:color="3F3F3F"/>
              <w:right w:val="single" w:sz="4" w:space="0" w:color="3F3F3F"/>
            </w:tcBorders>
            <w:shd w:val="clear" w:color="000000" w:fill="F2F2F2"/>
            <w:noWrap/>
            <w:vAlign w:val="bottom"/>
            <w:hideMark/>
          </w:tcPr>
          <w:p w:rsidR="00EB4971" w:rsidRPr="00AD5324" w:rsidRDefault="00235236" w:rsidP="00EB4971">
            <w:pPr>
              <w:jc w:val="right"/>
              <w:rPr>
                <w:b/>
                <w:bCs/>
                <w:color w:val="3F3F3F"/>
                <w:sz w:val="22"/>
                <w:szCs w:val="22"/>
              </w:rPr>
            </w:pPr>
            <w:r w:rsidRPr="00AD5324">
              <w:rPr>
                <w:b/>
                <w:bCs/>
                <w:color w:val="3F3F3F"/>
                <w:sz w:val="22"/>
                <w:szCs w:val="22"/>
              </w:rPr>
              <w:t>5.561.829</w:t>
            </w:r>
          </w:p>
        </w:tc>
        <w:tc>
          <w:tcPr>
            <w:tcW w:w="960" w:type="dxa"/>
            <w:tcBorders>
              <w:top w:val="nil"/>
              <w:left w:val="nil"/>
              <w:bottom w:val="single" w:sz="4" w:space="0" w:color="3F3F3F"/>
              <w:right w:val="single" w:sz="4" w:space="0" w:color="3F3F3F"/>
            </w:tcBorders>
            <w:shd w:val="clear" w:color="000000" w:fill="F2F2F2"/>
            <w:noWrap/>
            <w:vAlign w:val="bottom"/>
            <w:hideMark/>
          </w:tcPr>
          <w:p w:rsidR="00EB4971" w:rsidRPr="00F515CF" w:rsidRDefault="00F515CF" w:rsidP="00366083">
            <w:pPr>
              <w:jc w:val="right"/>
              <w:rPr>
                <w:b/>
                <w:bCs/>
                <w:color w:val="3F3F3F"/>
                <w:sz w:val="22"/>
                <w:szCs w:val="22"/>
              </w:rPr>
            </w:pPr>
            <w:r w:rsidRPr="00F515CF">
              <w:rPr>
                <w:b/>
                <w:bCs/>
                <w:color w:val="3F3F3F"/>
                <w:sz w:val="22"/>
                <w:szCs w:val="22"/>
              </w:rPr>
              <w:t>64,12</w:t>
            </w:r>
          </w:p>
        </w:tc>
        <w:tc>
          <w:tcPr>
            <w:tcW w:w="1080" w:type="dxa"/>
            <w:tcBorders>
              <w:top w:val="nil"/>
              <w:left w:val="nil"/>
              <w:bottom w:val="single" w:sz="4" w:space="0" w:color="3F3F3F"/>
              <w:right w:val="single" w:sz="4" w:space="0" w:color="3F3F3F"/>
            </w:tcBorders>
            <w:shd w:val="clear" w:color="000000" w:fill="F2F2F2"/>
            <w:noWrap/>
            <w:vAlign w:val="bottom"/>
            <w:hideMark/>
          </w:tcPr>
          <w:p w:rsidR="00EB4971" w:rsidRPr="00366083" w:rsidRDefault="00E97841" w:rsidP="00EB4971">
            <w:pPr>
              <w:jc w:val="right"/>
              <w:rPr>
                <w:b/>
                <w:bCs/>
                <w:color w:val="3F3F3F"/>
                <w:sz w:val="22"/>
                <w:szCs w:val="22"/>
              </w:rPr>
            </w:pPr>
            <w:r w:rsidRPr="00366083">
              <w:rPr>
                <w:b/>
                <w:bCs/>
                <w:color w:val="3F3F3F"/>
                <w:sz w:val="22"/>
                <w:szCs w:val="22"/>
              </w:rPr>
              <w:t>102,2</w:t>
            </w:r>
          </w:p>
        </w:tc>
      </w:tr>
      <w:tr w:rsidR="00EB4971" w:rsidRPr="00B2201F" w:rsidTr="00EB4971">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EB4971" w:rsidRPr="00B2201F" w:rsidRDefault="00EB4971" w:rsidP="00EB4971">
            <w:pPr>
              <w:rPr>
                <w:b/>
                <w:bCs/>
                <w:color w:val="3F3F3F"/>
                <w:sz w:val="22"/>
                <w:szCs w:val="22"/>
              </w:rPr>
            </w:pPr>
            <w:r w:rsidRPr="00B2201F">
              <w:rPr>
                <w:b/>
                <w:bCs/>
                <w:color w:val="3F3F3F"/>
                <w:sz w:val="22"/>
                <w:szCs w:val="22"/>
              </w:rPr>
              <w:t>NEDAVČNI PRIHODKI</w:t>
            </w:r>
          </w:p>
        </w:tc>
        <w:tc>
          <w:tcPr>
            <w:tcW w:w="1480" w:type="dxa"/>
            <w:tcBorders>
              <w:top w:val="nil"/>
              <w:left w:val="nil"/>
              <w:bottom w:val="single" w:sz="4" w:space="0" w:color="3F3F3F"/>
              <w:right w:val="single" w:sz="4" w:space="0" w:color="3F3F3F"/>
            </w:tcBorders>
            <w:shd w:val="clear" w:color="000000" w:fill="F2F2F2"/>
            <w:noWrap/>
            <w:vAlign w:val="bottom"/>
            <w:hideMark/>
          </w:tcPr>
          <w:p w:rsidR="00EB4971" w:rsidRPr="00B2201F" w:rsidRDefault="00235236" w:rsidP="00EB4971">
            <w:pPr>
              <w:jc w:val="right"/>
              <w:rPr>
                <w:b/>
                <w:bCs/>
                <w:color w:val="3F3F3F"/>
                <w:sz w:val="22"/>
                <w:szCs w:val="22"/>
              </w:rPr>
            </w:pPr>
            <w:r>
              <w:rPr>
                <w:b/>
                <w:bCs/>
                <w:color w:val="3F3F3F"/>
                <w:sz w:val="22"/>
                <w:szCs w:val="22"/>
              </w:rPr>
              <w:t>1.803.547</w:t>
            </w:r>
          </w:p>
        </w:tc>
        <w:tc>
          <w:tcPr>
            <w:tcW w:w="960" w:type="dxa"/>
            <w:tcBorders>
              <w:top w:val="nil"/>
              <w:left w:val="nil"/>
              <w:bottom w:val="single" w:sz="4" w:space="0" w:color="3F3F3F"/>
              <w:right w:val="single" w:sz="4" w:space="0" w:color="3F3F3F"/>
            </w:tcBorders>
            <w:shd w:val="clear" w:color="000000" w:fill="F2F2F2"/>
            <w:noWrap/>
            <w:vAlign w:val="bottom"/>
            <w:hideMark/>
          </w:tcPr>
          <w:p w:rsidR="00EB4971" w:rsidRPr="00B2201F" w:rsidRDefault="00EB4971" w:rsidP="00EB4971">
            <w:pPr>
              <w:jc w:val="right"/>
              <w:rPr>
                <w:b/>
                <w:bCs/>
                <w:color w:val="3F3F3F"/>
                <w:sz w:val="22"/>
                <w:szCs w:val="22"/>
              </w:rPr>
            </w:pPr>
            <w:r w:rsidRPr="00B2201F">
              <w:rPr>
                <w:b/>
                <w:bCs/>
                <w:color w:val="3F3F3F"/>
                <w:sz w:val="22"/>
                <w:szCs w:val="22"/>
              </w:rPr>
              <w:t>21,21</w:t>
            </w:r>
          </w:p>
        </w:tc>
        <w:tc>
          <w:tcPr>
            <w:tcW w:w="1500" w:type="dxa"/>
            <w:tcBorders>
              <w:top w:val="nil"/>
              <w:left w:val="nil"/>
              <w:bottom w:val="single" w:sz="4" w:space="0" w:color="3F3F3F"/>
              <w:right w:val="single" w:sz="4" w:space="0" w:color="3F3F3F"/>
            </w:tcBorders>
            <w:shd w:val="clear" w:color="000000" w:fill="F2F2F2"/>
            <w:noWrap/>
            <w:vAlign w:val="bottom"/>
            <w:hideMark/>
          </w:tcPr>
          <w:p w:rsidR="00EB4971" w:rsidRPr="00AD5324" w:rsidRDefault="0024313F" w:rsidP="00EB4971">
            <w:pPr>
              <w:jc w:val="right"/>
              <w:rPr>
                <w:b/>
                <w:bCs/>
                <w:color w:val="3F3F3F"/>
                <w:sz w:val="22"/>
                <w:szCs w:val="22"/>
              </w:rPr>
            </w:pPr>
            <w:r>
              <w:rPr>
                <w:b/>
                <w:bCs/>
                <w:color w:val="3F3F3F"/>
                <w:sz w:val="22"/>
                <w:szCs w:val="22"/>
              </w:rPr>
              <w:t>2.265.383</w:t>
            </w:r>
          </w:p>
        </w:tc>
        <w:tc>
          <w:tcPr>
            <w:tcW w:w="960" w:type="dxa"/>
            <w:tcBorders>
              <w:top w:val="nil"/>
              <w:left w:val="nil"/>
              <w:bottom w:val="single" w:sz="4" w:space="0" w:color="3F3F3F"/>
              <w:right w:val="single" w:sz="4" w:space="0" w:color="3F3F3F"/>
            </w:tcBorders>
            <w:shd w:val="clear" w:color="000000" w:fill="F2F2F2"/>
            <w:noWrap/>
            <w:vAlign w:val="bottom"/>
            <w:hideMark/>
          </w:tcPr>
          <w:p w:rsidR="00EB4971" w:rsidRPr="00F515CF" w:rsidRDefault="00F515CF" w:rsidP="00366083">
            <w:pPr>
              <w:jc w:val="right"/>
              <w:rPr>
                <w:b/>
                <w:bCs/>
                <w:color w:val="3F3F3F"/>
                <w:sz w:val="22"/>
                <w:szCs w:val="22"/>
              </w:rPr>
            </w:pPr>
            <w:r w:rsidRPr="00F515CF">
              <w:rPr>
                <w:b/>
                <w:bCs/>
                <w:color w:val="3F3F3F"/>
                <w:sz w:val="22"/>
                <w:szCs w:val="22"/>
              </w:rPr>
              <w:t>26,11</w:t>
            </w:r>
          </w:p>
        </w:tc>
        <w:tc>
          <w:tcPr>
            <w:tcW w:w="1080" w:type="dxa"/>
            <w:tcBorders>
              <w:top w:val="nil"/>
              <w:left w:val="nil"/>
              <w:bottom w:val="single" w:sz="4" w:space="0" w:color="3F3F3F"/>
              <w:right w:val="single" w:sz="4" w:space="0" w:color="3F3F3F"/>
            </w:tcBorders>
            <w:shd w:val="clear" w:color="000000" w:fill="F2F2F2"/>
            <w:noWrap/>
            <w:vAlign w:val="bottom"/>
            <w:hideMark/>
          </w:tcPr>
          <w:p w:rsidR="00EB4971" w:rsidRPr="00366083" w:rsidRDefault="0024313F" w:rsidP="00EB4971">
            <w:pPr>
              <w:jc w:val="right"/>
              <w:rPr>
                <w:b/>
                <w:bCs/>
                <w:color w:val="3F3F3F"/>
                <w:sz w:val="22"/>
                <w:szCs w:val="22"/>
              </w:rPr>
            </w:pPr>
            <w:r>
              <w:rPr>
                <w:b/>
                <w:bCs/>
                <w:color w:val="3F3F3F"/>
                <w:sz w:val="22"/>
                <w:szCs w:val="22"/>
              </w:rPr>
              <w:t>125</w:t>
            </w:r>
            <w:r w:rsidR="00366083" w:rsidRPr="00366083">
              <w:rPr>
                <w:b/>
                <w:bCs/>
                <w:color w:val="3F3F3F"/>
                <w:sz w:val="22"/>
                <w:szCs w:val="22"/>
              </w:rPr>
              <w:t>,</w:t>
            </w:r>
            <w:r>
              <w:rPr>
                <w:b/>
                <w:bCs/>
                <w:color w:val="3F3F3F"/>
                <w:sz w:val="22"/>
                <w:szCs w:val="22"/>
              </w:rPr>
              <w:t>6</w:t>
            </w:r>
          </w:p>
        </w:tc>
      </w:tr>
      <w:tr w:rsidR="00EB4971" w:rsidRPr="00B2201F" w:rsidTr="00EB4971">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EB4971" w:rsidRPr="00B2201F" w:rsidRDefault="00EB4971" w:rsidP="00EB4971">
            <w:pPr>
              <w:rPr>
                <w:b/>
                <w:bCs/>
                <w:color w:val="3F3F3F"/>
                <w:sz w:val="22"/>
                <w:szCs w:val="22"/>
              </w:rPr>
            </w:pPr>
            <w:r w:rsidRPr="00B2201F">
              <w:rPr>
                <w:b/>
                <w:bCs/>
                <w:color w:val="3F3F3F"/>
                <w:sz w:val="22"/>
                <w:szCs w:val="22"/>
              </w:rPr>
              <w:t>KAPITALSKI PRIHODKI</w:t>
            </w:r>
          </w:p>
        </w:tc>
        <w:tc>
          <w:tcPr>
            <w:tcW w:w="1480" w:type="dxa"/>
            <w:tcBorders>
              <w:top w:val="nil"/>
              <w:left w:val="nil"/>
              <w:bottom w:val="single" w:sz="4" w:space="0" w:color="3F3F3F"/>
              <w:right w:val="single" w:sz="4" w:space="0" w:color="3F3F3F"/>
            </w:tcBorders>
            <w:shd w:val="clear" w:color="000000" w:fill="F2F2F2"/>
            <w:noWrap/>
            <w:vAlign w:val="bottom"/>
            <w:hideMark/>
          </w:tcPr>
          <w:p w:rsidR="00EB4971" w:rsidRPr="00B2201F" w:rsidRDefault="00235236" w:rsidP="00EB4971">
            <w:pPr>
              <w:jc w:val="right"/>
              <w:rPr>
                <w:b/>
                <w:bCs/>
                <w:color w:val="3F3F3F"/>
                <w:sz w:val="22"/>
                <w:szCs w:val="22"/>
              </w:rPr>
            </w:pPr>
            <w:r>
              <w:rPr>
                <w:b/>
                <w:bCs/>
                <w:color w:val="3F3F3F"/>
                <w:sz w:val="22"/>
                <w:szCs w:val="22"/>
              </w:rPr>
              <w:t>300.000</w:t>
            </w:r>
          </w:p>
        </w:tc>
        <w:tc>
          <w:tcPr>
            <w:tcW w:w="960" w:type="dxa"/>
            <w:tcBorders>
              <w:top w:val="nil"/>
              <w:left w:val="nil"/>
              <w:bottom w:val="single" w:sz="4" w:space="0" w:color="3F3F3F"/>
              <w:right w:val="single" w:sz="4" w:space="0" w:color="3F3F3F"/>
            </w:tcBorders>
            <w:shd w:val="clear" w:color="000000" w:fill="F2F2F2"/>
            <w:noWrap/>
            <w:vAlign w:val="bottom"/>
            <w:hideMark/>
          </w:tcPr>
          <w:p w:rsidR="00EB4971" w:rsidRPr="00B2201F" w:rsidRDefault="00EB4971" w:rsidP="00EB4971">
            <w:pPr>
              <w:jc w:val="right"/>
              <w:rPr>
                <w:b/>
                <w:bCs/>
                <w:color w:val="3F3F3F"/>
                <w:sz w:val="22"/>
                <w:szCs w:val="22"/>
              </w:rPr>
            </w:pPr>
            <w:r w:rsidRPr="00B2201F">
              <w:rPr>
                <w:b/>
                <w:bCs/>
                <w:color w:val="3F3F3F"/>
                <w:sz w:val="22"/>
                <w:szCs w:val="22"/>
              </w:rPr>
              <w:t>8,54</w:t>
            </w:r>
          </w:p>
        </w:tc>
        <w:tc>
          <w:tcPr>
            <w:tcW w:w="1500" w:type="dxa"/>
            <w:tcBorders>
              <w:top w:val="nil"/>
              <w:left w:val="nil"/>
              <w:bottom w:val="single" w:sz="4" w:space="0" w:color="3F3F3F"/>
              <w:right w:val="single" w:sz="4" w:space="0" w:color="3F3F3F"/>
            </w:tcBorders>
            <w:shd w:val="clear" w:color="000000" w:fill="F2F2F2"/>
            <w:noWrap/>
            <w:vAlign w:val="bottom"/>
            <w:hideMark/>
          </w:tcPr>
          <w:p w:rsidR="00EB4971" w:rsidRPr="00AD5324" w:rsidRDefault="00235236" w:rsidP="00EB4971">
            <w:pPr>
              <w:jc w:val="right"/>
              <w:rPr>
                <w:b/>
                <w:bCs/>
                <w:color w:val="3F3F3F"/>
                <w:sz w:val="22"/>
                <w:szCs w:val="22"/>
              </w:rPr>
            </w:pPr>
            <w:r w:rsidRPr="00AD5324">
              <w:rPr>
                <w:b/>
                <w:bCs/>
                <w:color w:val="3F3F3F"/>
                <w:sz w:val="22"/>
                <w:szCs w:val="22"/>
              </w:rPr>
              <w:t>300.000</w:t>
            </w:r>
          </w:p>
        </w:tc>
        <w:tc>
          <w:tcPr>
            <w:tcW w:w="960" w:type="dxa"/>
            <w:tcBorders>
              <w:top w:val="nil"/>
              <w:left w:val="nil"/>
              <w:bottom w:val="single" w:sz="4" w:space="0" w:color="3F3F3F"/>
              <w:right w:val="single" w:sz="4" w:space="0" w:color="3F3F3F"/>
            </w:tcBorders>
            <w:shd w:val="clear" w:color="000000" w:fill="F2F2F2"/>
            <w:noWrap/>
            <w:vAlign w:val="bottom"/>
            <w:hideMark/>
          </w:tcPr>
          <w:p w:rsidR="00EB4971" w:rsidRPr="00F515CF" w:rsidRDefault="00F515CF" w:rsidP="00366083">
            <w:pPr>
              <w:jc w:val="right"/>
              <w:rPr>
                <w:b/>
                <w:bCs/>
                <w:color w:val="3F3F3F"/>
                <w:sz w:val="22"/>
                <w:szCs w:val="22"/>
              </w:rPr>
            </w:pPr>
            <w:r w:rsidRPr="00F515CF">
              <w:rPr>
                <w:b/>
                <w:bCs/>
                <w:color w:val="3F3F3F"/>
                <w:sz w:val="22"/>
                <w:szCs w:val="22"/>
              </w:rPr>
              <w:t>3,46</w:t>
            </w:r>
          </w:p>
        </w:tc>
        <w:tc>
          <w:tcPr>
            <w:tcW w:w="1080" w:type="dxa"/>
            <w:tcBorders>
              <w:top w:val="nil"/>
              <w:left w:val="nil"/>
              <w:bottom w:val="single" w:sz="4" w:space="0" w:color="3F3F3F"/>
              <w:right w:val="single" w:sz="4" w:space="0" w:color="3F3F3F"/>
            </w:tcBorders>
            <w:shd w:val="clear" w:color="000000" w:fill="F2F2F2"/>
            <w:noWrap/>
            <w:vAlign w:val="bottom"/>
            <w:hideMark/>
          </w:tcPr>
          <w:p w:rsidR="00EB4971" w:rsidRPr="00366083" w:rsidRDefault="00E97841" w:rsidP="00EB4971">
            <w:pPr>
              <w:jc w:val="right"/>
              <w:rPr>
                <w:b/>
                <w:bCs/>
                <w:color w:val="3F3F3F"/>
                <w:sz w:val="22"/>
                <w:szCs w:val="22"/>
              </w:rPr>
            </w:pPr>
            <w:r w:rsidRPr="00366083">
              <w:rPr>
                <w:b/>
                <w:bCs/>
                <w:color w:val="3F3F3F"/>
                <w:sz w:val="22"/>
                <w:szCs w:val="22"/>
              </w:rPr>
              <w:t>100,0</w:t>
            </w:r>
          </w:p>
        </w:tc>
      </w:tr>
      <w:tr w:rsidR="00EB4971" w:rsidRPr="00B2201F" w:rsidTr="00EB4971">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EB4971" w:rsidRPr="00B2201F" w:rsidRDefault="00EB4971" w:rsidP="00EB4971">
            <w:pPr>
              <w:rPr>
                <w:b/>
                <w:bCs/>
                <w:color w:val="3F3F3F"/>
                <w:sz w:val="22"/>
                <w:szCs w:val="22"/>
              </w:rPr>
            </w:pPr>
            <w:r w:rsidRPr="00B2201F">
              <w:rPr>
                <w:b/>
                <w:bCs/>
                <w:color w:val="3F3F3F"/>
                <w:sz w:val="22"/>
                <w:szCs w:val="22"/>
              </w:rPr>
              <w:t>TRANSFERNI PRIHODKI</w:t>
            </w:r>
          </w:p>
        </w:tc>
        <w:tc>
          <w:tcPr>
            <w:tcW w:w="1480" w:type="dxa"/>
            <w:tcBorders>
              <w:top w:val="nil"/>
              <w:left w:val="nil"/>
              <w:bottom w:val="single" w:sz="4" w:space="0" w:color="3F3F3F"/>
              <w:right w:val="single" w:sz="4" w:space="0" w:color="3F3F3F"/>
            </w:tcBorders>
            <w:shd w:val="clear" w:color="000000" w:fill="F2F2F2"/>
            <w:noWrap/>
            <w:vAlign w:val="bottom"/>
            <w:hideMark/>
          </w:tcPr>
          <w:p w:rsidR="00EB4971" w:rsidRPr="00B2201F" w:rsidRDefault="00235236" w:rsidP="00EB4971">
            <w:pPr>
              <w:jc w:val="right"/>
              <w:rPr>
                <w:b/>
                <w:bCs/>
                <w:color w:val="3F3F3F"/>
                <w:sz w:val="22"/>
                <w:szCs w:val="22"/>
              </w:rPr>
            </w:pPr>
            <w:r>
              <w:rPr>
                <w:b/>
                <w:bCs/>
                <w:color w:val="3F3F3F"/>
                <w:sz w:val="22"/>
                <w:szCs w:val="22"/>
              </w:rPr>
              <w:t>547.421</w:t>
            </w:r>
          </w:p>
        </w:tc>
        <w:tc>
          <w:tcPr>
            <w:tcW w:w="960" w:type="dxa"/>
            <w:tcBorders>
              <w:top w:val="nil"/>
              <w:left w:val="nil"/>
              <w:bottom w:val="single" w:sz="4" w:space="0" w:color="3F3F3F"/>
              <w:right w:val="single" w:sz="4" w:space="0" w:color="3F3F3F"/>
            </w:tcBorders>
            <w:shd w:val="clear" w:color="000000" w:fill="F2F2F2"/>
            <w:noWrap/>
            <w:vAlign w:val="bottom"/>
            <w:hideMark/>
          </w:tcPr>
          <w:p w:rsidR="00EB4971" w:rsidRPr="00B2201F" w:rsidRDefault="00EB4971" w:rsidP="00EB4971">
            <w:pPr>
              <w:jc w:val="right"/>
              <w:rPr>
                <w:b/>
                <w:bCs/>
                <w:color w:val="3F3F3F"/>
                <w:sz w:val="22"/>
                <w:szCs w:val="22"/>
              </w:rPr>
            </w:pPr>
            <w:r w:rsidRPr="00B2201F">
              <w:rPr>
                <w:b/>
                <w:bCs/>
                <w:color w:val="3F3F3F"/>
                <w:sz w:val="22"/>
                <w:szCs w:val="22"/>
              </w:rPr>
              <w:t>9,73</w:t>
            </w:r>
          </w:p>
        </w:tc>
        <w:tc>
          <w:tcPr>
            <w:tcW w:w="1500" w:type="dxa"/>
            <w:tcBorders>
              <w:top w:val="nil"/>
              <w:left w:val="nil"/>
              <w:bottom w:val="single" w:sz="4" w:space="0" w:color="3F3F3F"/>
              <w:right w:val="single" w:sz="4" w:space="0" w:color="3F3F3F"/>
            </w:tcBorders>
            <w:shd w:val="clear" w:color="000000" w:fill="F2F2F2"/>
            <w:noWrap/>
            <w:vAlign w:val="bottom"/>
            <w:hideMark/>
          </w:tcPr>
          <w:p w:rsidR="00EB4971" w:rsidRPr="00AD5324" w:rsidRDefault="00366083" w:rsidP="00EB4971">
            <w:pPr>
              <w:jc w:val="right"/>
              <w:rPr>
                <w:b/>
                <w:bCs/>
                <w:color w:val="3F3F3F"/>
                <w:sz w:val="22"/>
                <w:szCs w:val="22"/>
              </w:rPr>
            </w:pPr>
            <w:r>
              <w:rPr>
                <w:b/>
                <w:bCs/>
                <w:color w:val="3F3F3F"/>
                <w:sz w:val="22"/>
                <w:szCs w:val="22"/>
              </w:rPr>
              <w:t>546.995</w:t>
            </w:r>
          </w:p>
        </w:tc>
        <w:tc>
          <w:tcPr>
            <w:tcW w:w="960" w:type="dxa"/>
            <w:tcBorders>
              <w:top w:val="nil"/>
              <w:left w:val="nil"/>
              <w:bottom w:val="single" w:sz="4" w:space="0" w:color="3F3F3F"/>
              <w:right w:val="single" w:sz="4" w:space="0" w:color="3F3F3F"/>
            </w:tcBorders>
            <w:shd w:val="clear" w:color="000000" w:fill="F2F2F2"/>
            <w:noWrap/>
            <w:vAlign w:val="bottom"/>
            <w:hideMark/>
          </w:tcPr>
          <w:p w:rsidR="00EB4971" w:rsidRPr="00F515CF" w:rsidRDefault="00F515CF" w:rsidP="00EB4971">
            <w:pPr>
              <w:jc w:val="right"/>
              <w:rPr>
                <w:b/>
                <w:bCs/>
                <w:color w:val="3F3F3F"/>
                <w:sz w:val="22"/>
                <w:szCs w:val="22"/>
              </w:rPr>
            </w:pPr>
            <w:r w:rsidRPr="00F515CF">
              <w:rPr>
                <w:b/>
                <w:bCs/>
                <w:color w:val="3F3F3F"/>
                <w:sz w:val="22"/>
                <w:szCs w:val="22"/>
              </w:rPr>
              <w:t>6,31</w:t>
            </w:r>
          </w:p>
        </w:tc>
        <w:tc>
          <w:tcPr>
            <w:tcW w:w="1080" w:type="dxa"/>
            <w:tcBorders>
              <w:top w:val="nil"/>
              <w:left w:val="nil"/>
              <w:bottom w:val="single" w:sz="4" w:space="0" w:color="3F3F3F"/>
              <w:right w:val="single" w:sz="4" w:space="0" w:color="3F3F3F"/>
            </w:tcBorders>
            <w:shd w:val="clear" w:color="000000" w:fill="F2F2F2"/>
            <w:noWrap/>
            <w:vAlign w:val="bottom"/>
            <w:hideMark/>
          </w:tcPr>
          <w:p w:rsidR="00EB4971" w:rsidRPr="00366083" w:rsidRDefault="00366083" w:rsidP="00EB4971">
            <w:pPr>
              <w:jc w:val="right"/>
              <w:rPr>
                <w:b/>
                <w:bCs/>
                <w:color w:val="3F3F3F"/>
                <w:sz w:val="22"/>
                <w:szCs w:val="22"/>
              </w:rPr>
            </w:pPr>
            <w:r w:rsidRPr="00366083">
              <w:rPr>
                <w:b/>
                <w:bCs/>
                <w:color w:val="3F3F3F"/>
                <w:sz w:val="22"/>
                <w:szCs w:val="22"/>
              </w:rPr>
              <w:t>99,9</w:t>
            </w:r>
          </w:p>
        </w:tc>
      </w:tr>
      <w:tr w:rsidR="00E97841" w:rsidRPr="00B2201F" w:rsidTr="00EB4971">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E97841" w:rsidRPr="00B2201F" w:rsidRDefault="00E97841" w:rsidP="00EB4971">
            <w:pPr>
              <w:rPr>
                <w:b/>
                <w:bCs/>
                <w:color w:val="3F3F3F"/>
                <w:sz w:val="22"/>
                <w:szCs w:val="22"/>
              </w:rPr>
            </w:pPr>
            <w:r w:rsidRPr="00B2201F">
              <w:rPr>
                <w:b/>
                <w:bCs/>
                <w:color w:val="3F3F3F"/>
                <w:sz w:val="22"/>
                <w:szCs w:val="22"/>
              </w:rPr>
              <w:t>SKUPAJ PRIHODKI</w:t>
            </w:r>
          </w:p>
        </w:tc>
        <w:tc>
          <w:tcPr>
            <w:tcW w:w="1480" w:type="dxa"/>
            <w:tcBorders>
              <w:top w:val="nil"/>
              <w:left w:val="nil"/>
              <w:bottom w:val="single" w:sz="4" w:space="0" w:color="3F3F3F"/>
              <w:right w:val="single" w:sz="4" w:space="0" w:color="3F3F3F"/>
            </w:tcBorders>
            <w:shd w:val="clear" w:color="000000" w:fill="F2F2F2"/>
            <w:noWrap/>
            <w:vAlign w:val="bottom"/>
            <w:hideMark/>
          </w:tcPr>
          <w:p w:rsidR="00E97841" w:rsidRPr="00B2201F" w:rsidRDefault="00E97841" w:rsidP="00E97841">
            <w:pPr>
              <w:jc w:val="right"/>
              <w:rPr>
                <w:b/>
                <w:bCs/>
                <w:color w:val="3F3F3F"/>
                <w:sz w:val="22"/>
                <w:szCs w:val="22"/>
              </w:rPr>
            </w:pPr>
            <w:r>
              <w:rPr>
                <w:b/>
                <w:bCs/>
                <w:color w:val="3F3F3F"/>
                <w:sz w:val="22"/>
                <w:szCs w:val="22"/>
              </w:rPr>
              <w:t>8.092.607</w:t>
            </w:r>
          </w:p>
        </w:tc>
        <w:tc>
          <w:tcPr>
            <w:tcW w:w="960" w:type="dxa"/>
            <w:tcBorders>
              <w:top w:val="nil"/>
              <w:left w:val="nil"/>
              <w:bottom w:val="single" w:sz="4" w:space="0" w:color="3F3F3F"/>
              <w:right w:val="single" w:sz="4" w:space="0" w:color="3F3F3F"/>
            </w:tcBorders>
            <w:shd w:val="clear" w:color="000000" w:fill="F2F2F2"/>
            <w:noWrap/>
            <w:vAlign w:val="bottom"/>
            <w:hideMark/>
          </w:tcPr>
          <w:p w:rsidR="00E97841" w:rsidRPr="00B2201F" w:rsidRDefault="00E97841" w:rsidP="00E97841">
            <w:pPr>
              <w:jc w:val="right"/>
              <w:rPr>
                <w:b/>
                <w:bCs/>
                <w:color w:val="3F3F3F"/>
                <w:sz w:val="22"/>
                <w:szCs w:val="22"/>
              </w:rPr>
            </w:pPr>
            <w:r w:rsidRPr="00B2201F">
              <w:rPr>
                <w:b/>
                <w:bCs/>
                <w:color w:val="3F3F3F"/>
                <w:sz w:val="22"/>
                <w:szCs w:val="22"/>
              </w:rPr>
              <w:t>100,00</w:t>
            </w:r>
          </w:p>
        </w:tc>
        <w:tc>
          <w:tcPr>
            <w:tcW w:w="1500" w:type="dxa"/>
            <w:tcBorders>
              <w:top w:val="nil"/>
              <w:left w:val="nil"/>
              <w:bottom w:val="single" w:sz="4" w:space="0" w:color="3F3F3F"/>
              <w:right w:val="single" w:sz="4" w:space="0" w:color="3F3F3F"/>
            </w:tcBorders>
            <w:shd w:val="clear" w:color="000000" w:fill="F2F2F2"/>
            <w:noWrap/>
            <w:vAlign w:val="bottom"/>
            <w:hideMark/>
          </w:tcPr>
          <w:p w:rsidR="00E97841" w:rsidRPr="00AD5324" w:rsidRDefault="0024313F" w:rsidP="00237E15">
            <w:pPr>
              <w:jc w:val="right"/>
              <w:rPr>
                <w:b/>
                <w:bCs/>
                <w:color w:val="3F3F3F"/>
                <w:sz w:val="22"/>
                <w:szCs w:val="22"/>
              </w:rPr>
            </w:pPr>
            <w:r>
              <w:rPr>
                <w:b/>
                <w:bCs/>
                <w:color w:val="3F3F3F"/>
                <w:sz w:val="22"/>
                <w:szCs w:val="22"/>
              </w:rPr>
              <w:t>8.674.207</w:t>
            </w:r>
          </w:p>
        </w:tc>
        <w:tc>
          <w:tcPr>
            <w:tcW w:w="960" w:type="dxa"/>
            <w:tcBorders>
              <w:top w:val="nil"/>
              <w:left w:val="nil"/>
              <w:bottom w:val="single" w:sz="4" w:space="0" w:color="3F3F3F"/>
              <w:right w:val="single" w:sz="4" w:space="0" w:color="3F3F3F"/>
            </w:tcBorders>
            <w:shd w:val="clear" w:color="000000" w:fill="F2F2F2"/>
            <w:noWrap/>
            <w:vAlign w:val="bottom"/>
            <w:hideMark/>
          </w:tcPr>
          <w:p w:rsidR="00E97841" w:rsidRPr="00F515CF" w:rsidRDefault="00E97841" w:rsidP="00EB4971">
            <w:pPr>
              <w:jc w:val="right"/>
              <w:rPr>
                <w:b/>
                <w:bCs/>
                <w:color w:val="3F3F3F"/>
                <w:sz w:val="22"/>
                <w:szCs w:val="22"/>
              </w:rPr>
            </w:pPr>
            <w:r w:rsidRPr="00F515CF">
              <w:rPr>
                <w:b/>
                <w:bCs/>
                <w:color w:val="3F3F3F"/>
                <w:sz w:val="22"/>
                <w:szCs w:val="22"/>
              </w:rPr>
              <w:t>100,00</w:t>
            </w:r>
          </w:p>
        </w:tc>
        <w:tc>
          <w:tcPr>
            <w:tcW w:w="1080" w:type="dxa"/>
            <w:tcBorders>
              <w:top w:val="nil"/>
              <w:left w:val="nil"/>
              <w:bottom w:val="single" w:sz="4" w:space="0" w:color="3F3F3F"/>
              <w:right w:val="single" w:sz="4" w:space="0" w:color="3F3F3F"/>
            </w:tcBorders>
            <w:shd w:val="clear" w:color="000000" w:fill="F2F2F2"/>
            <w:noWrap/>
            <w:vAlign w:val="bottom"/>
            <w:hideMark/>
          </w:tcPr>
          <w:p w:rsidR="00E97841" w:rsidRPr="00366083" w:rsidRDefault="0024313F" w:rsidP="00366083">
            <w:pPr>
              <w:jc w:val="right"/>
              <w:rPr>
                <w:b/>
                <w:bCs/>
                <w:color w:val="3F3F3F"/>
                <w:sz w:val="22"/>
                <w:szCs w:val="22"/>
              </w:rPr>
            </w:pPr>
            <w:r>
              <w:rPr>
                <w:b/>
                <w:bCs/>
                <w:color w:val="3F3F3F"/>
                <w:sz w:val="22"/>
                <w:szCs w:val="22"/>
              </w:rPr>
              <w:t>107,2</w:t>
            </w:r>
          </w:p>
        </w:tc>
      </w:tr>
    </w:tbl>
    <w:p w:rsidR="00950D3E" w:rsidRDefault="00950D3E" w:rsidP="00D8570C">
      <w:pPr>
        <w:pStyle w:val="Naslov2"/>
        <w:rPr>
          <w:szCs w:val="22"/>
        </w:rPr>
      </w:pPr>
    </w:p>
    <w:p w:rsidR="000F1D94" w:rsidRPr="00BA5943" w:rsidRDefault="000F1D94" w:rsidP="000F1D94">
      <w:pPr>
        <w:pStyle w:val="Telobesedila2"/>
        <w:rPr>
          <w:sz w:val="22"/>
          <w:szCs w:val="22"/>
        </w:rPr>
      </w:pPr>
      <w:r w:rsidRPr="00BA5943">
        <w:rPr>
          <w:sz w:val="22"/>
          <w:szCs w:val="22"/>
        </w:rPr>
        <w:t>Pri pripravi I</w:t>
      </w:r>
      <w:r w:rsidR="00A26C8C">
        <w:rPr>
          <w:sz w:val="22"/>
          <w:szCs w:val="22"/>
        </w:rPr>
        <w:t>.</w:t>
      </w:r>
      <w:r w:rsidRPr="00BA5943">
        <w:rPr>
          <w:sz w:val="22"/>
          <w:szCs w:val="22"/>
        </w:rPr>
        <w:t xml:space="preserve"> rebalansa za leto 2017 smo na prihodkovni strani, </w:t>
      </w:r>
      <w:r w:rsidR="00723F43" w:rsidRPr="00BA5943">
        <w:rPr>
          <w:sz w:val="22"/>
          <w:szCs w:val="22"/>
        </w:rPr>
        <w:t xml:space="preserve">povečali davčne prihodke, </w:t>
      </w:r>
      <w:r w:rsidRPr="00BA5943">
        <w:rPr>
          <w:sz w:val="22"/>
          <w:szCs w:val="22"/>
        </w:rPr>
        <w:t>za 120.190</w:t>
      </w:r>
      <w:r w:rsidR="00D13C01" w:rsidRPr="00BA5943">
        <w:rPr>
          <w:sz w:val="22"/>
          <w:szCs w:val="22"/>
        </w:rPr>
        <w:t xml:space="preserve"> €</w:t>
      </w:r>
      <w:r w:rsidR="00A26C8C">
        <w:rPr>
          <w:sz w:val="22"/>
          <w:szCs w:val="22"/>
        </w:rPr>
        <w:t xml:space="preserve"> n sicer</w:t>
      </w:r>
      <w:r w:rsidR="00D13C01" w:rsidRPr="00BA5943">
        <w:rPr>
          <w:sz w:val="22"/>
          <w:szCs w:val="22"/>
        </w:rPr>
        <w:t xml:space="preserve"> na kontih davki na promet nepremičnin, davek na dobitke od iger na srečo, občinske takse od pravnih oseb, drugi prihodki od premoženja. </w:t>
      </w:r>
      <w:r w:rsidR="00B409C1" w:rsidRPr="00BA5943">
        <w:rPr>
          <w:sz w:val="22"/>
          <w:szCs w:val="22"/>
        </w:rPr>
        <w:t xml:space="preserve">Nedavčni prihodki so se povečali za </w:t>
      </w:r>
      <w:r w:rsidR="0024313F">
        <w:rPr>
          <w:sz w:val="22"/>
          <w:szCs w:val="22"/>
        </w:rPr>
        <w:t>461.836</w:t>
      </w:r>
      <w:r w:rsidR="00B409C1" w:rsidRPr="00BA5943">
        <w:rPr>
          <w:sz w:val="22"/>
          <w:szCs w:val="22"/>
        </w:rPr>
        <w:t xml:space="preserve"> € iz naslova naka</w:t>
      </w:r>
      <w:r w:rsidR="00A26C8C">
        <w:rPr>
          <w:sz w:val="22"/>
          <w:szCs w:val="22"/>
        </w:rPr>
        <w:t>zila</w:t>
      </w:r>
      <w:r w:rsidR="00D13C01" w:rsidRPr="00BA5943">
        <w:rPr>
          <w:sz w:val="22"/>
          <w:szCs w:val="22"/>
        </w:rPr>
        <w:t xml:space="preserve"> dobička</w:t>
      </w:r>
      <w:r w:rsidR="00A26C8C">
        <w:rPr>
          <w:sz w:val="22"/>
          <w:szCs w:val="22"/>
        </w:rPr>
        <w:t xml:space="preserve"> JP CČN Domžale Kamnik, nakazila</w:t>
      </w:r>
      <w:r w:rsidR="00B409C1" w:rsidRPr="00BA5943">
        <w:rPr>
          <w:sz w:val="22"/>
          <w:szCs w:val="22"/>
        </w:rPr>
        <w:t xml:space="preserve"> neporabljenih presežkov iz preteklih let OŠ Davorina Jenka</w:t>
      </w:r>
      <w:r w:rsidR="00D13C01" w:rsidRPr="00BA5943">
        <w:rPr>
          <w:sz w:val="22"/>
          <w:szCs w:val="22"/>
        </w:rPr>
        <w:t>,</w:t>
      </w:r>
      <w:r w:rsidR="00B409C1" w:rsidRPr="00BA5943">
        <w:rPr>
          <w:sz w:val="22"/>
          <w:szCs w:val="22"/>
        </w:rPr>
        <w:t xml:space="preserve"> in</w:t>
      </w:r>
      <w:r w:rsidR="00D13C01" w:rsidRPr="00BA5943">
        <w:rPr>
          <w:sz w:val="22"/>
          <w:szCs w:val="22"/>
        </w:rPr>
        <w:t xml:space="preserve"> pričakovanega </w:t>
      </w:r>
      <w:r w:rsidR="00A26C8C">
        <w:rPr>
          <w:sz w:val="22"/>
          <w:szCs w:val="22"/>
        </w:rPr>
        <w:t>plačila</w:t>
      </w:r>
      <w:r w:rsidR="00B409C1" w:rsidRPr="00BA5943">
        <w:rPr>
          <w:sz w:val="22"/>
          <w:szCs w:val="22"/>
        </w:rPr>
        <w:t xml:space="preserve"> komunalnega</w:t>
      </w:r>
      <w:r w:rsidR="009F3E31">
        <w:rPr>
          <w:sz w:val="22"/>
          <w:szCs w:val="22"/>
        </w:rPr>
        <w:t xml:space="preserve"> prispevka s strani investitorjev na obm</w:t>
      </w:r>
      <w:r w:rsidR="00366083">
        <w:rPr>
          <w:sz w:val="22"/>
          <w:szCs w:val="22"/>
        </w:rPr>
        <w:t>očju poslovne cone ob letališču.</w:t>
      </w:r>
      <w:r w:rsidR="009F3E31">
        <w:rPr>
          <w:sz w:val="22"/>
          <w:szCs w:val="22"/>
        </w:rPr>
        <w:t xml:space="preserve"> </w:t>
      </w:r>
      <w:r w:rsidR="00366083">
        <w:rPr>
          <w:sz w:val="22"/>
          <w:szCs w:val="22"/>
        </w:rPr>
        <w:t>Transferni prihodki so se zmanjšali za 426 €.</w:t>
      </w:r>
    </w:p>
    <w:p w:rsidR="00D13C01" w:rsidRPr="00FE5FEE" w:rsidRDefault="00D13C01" w:rsidP="000F1D94">
      <w:pPr>
        <w:pStyle w:val="Telobesedila2"/>
        <w:rPr>
          <w:sz w:val="22"/>
          <w:szCs w:val="22"/>
          <w:highlight w:val="yellow"/>
        </w:rPr>
      </w:pPr>
    </w:p>
    <w:p w:rsidR="00C259FA" w:rsidRPr="00BA5943" w:rsidRDefault="00082127" w:rsidP="00D8570C">
      <w:pPr>
        <w:pStyle w:val="Naslov2"/>
        <w:rPr>
          <w:szCs w:val="22"/>
        </w:rPr>
      </w:pPr>
      <w:bookmarkStart w:id="11" w:name="_Toc484687247"/>
      <w:r w:rsidRPr="00BA5943">
        <w:rPr>
          <w:szCs w:val="22"/>
        </w:rPr>
        <w:t>ODHODKI PRORAČUNA</w:t>
      </w:r>
      <w:bookmarkEnd w:id="11"/>
    </w:p>
    <w:p w:rsidR="00C259FA" w:rsidRPr="00BA5943" w:rsidRDefault="00C259FA" w:rsidP="00C259FA">
      <w:pPr>
        <w:rPr>
          <w:sz w:val="22"/>
          <w:szCs w:val="22"/>
        </w:rPr>
      </w:pPr>
    </w:p>
    <w:p w:rsidR="0007410C" w:rsidRPr="009E29C5" w:rsidRDefault="00C259FA" w:rsidP="00C259FA">
      <w:pPr>
        <w:jc w:val="both"/>
        <w:rPr>
          <w:sz w:val="22"/>
          <w:szCs w:val="22"/>
        </w:rPr>
      </w:pPr>
      <w:r w:rsidRPr="009E29C5">
        <w:rPr>
          <w:sz w:val="22"/>
          <w:szCs w:val="22"/>
        </w:rPr>
        <w:t xml:space="preserve">Odhodki proračuna za leto </w:t>
      </w:r>
      <w:r w:rsidR="000F1D94" w:rsidRPr="009E29C5">
        <w:rPr>
          <w:sz w:val="22"/>
          <w:szCs w:val="22"/>
        </w:rPr>
        <w:t>2017</w:t>
      </w:r>
      <w:r w:rsidRPr="009E29C5">
        <w:rPr>
          <w:sz w:val="22"/>
          <w:szCs w:val="22"/>
        </w:rPr>
        <w:t xml:space="preserve"> zanašajo </w:t>
      </w:r>
      <w:r w:rsidR="00366083" w:rsidRPr="009E29C5">
        <w:rPr>
          <w:sz w:val="22"/>
          <w:szCs w:val="22"/>
        </w:rPr>
        <w:t>12.100.</w:t>
      </w:r>
      <w:r w:rsidR="00237E15">
        <w:rPr>
          <w:sz w:val="22"/>
          <w:szCs w:val="22"/>
        </w:rPr>
        <w:t>651</w:t>
      </w:r>
      <w:r w:rsidR="00EB4971" w:rsidRPr="009E29C5">
        <w:rPr>
          <w:sz w:val="22"/>
          <w:szCs w:val="22"/>
        </w:rPr>
        <w:t xml:space="preserve"> €</w:t>
      </w:r>
      <w:r w:rsidRPr="009E29C5">
        <w:rPr>
          <w:sz w:val="22"/>
          <w:szCs w:val="22"/>
        </w:rPr>
        <w:t xml:space="preserve">. </w:t>
      </w:r>
    </w:p>
    <w:p w:rsidR="008878FE" w:rsidRPr="009E29C5" w:rsidRDefault="00C259FA" w:rsidP="00C259FA">
      <w:pPr>
        <w:jc w:val="both"/>
        <w:rPr>
          <w:sz w:val="22"/>
          <w:szCs w:val="22"/>
        </w:rPr>
      </w:pPr>
      <w:r w:rsidRPr="009E29C5">
        <w:rPr>
          <w:sz w:val="22"/>
          <w:szCs w:val="22"/>
        </w:rPr>
        <w:t xml:space="preserve">Odhodki se </w:t>
      </w:r>
      <w:r w:rsidR="000F1D94" w:rsidRPr="009E29C5">
        <w:rPr>
          <w:sz w:val="22"/>
          <w:szCs w:val="22"/>
        </w:rPr>
        <w:t>povečajo</w:t>
      </w:r>
      <w:r w:rsidR="00AA6F4D" w:rsidRPr="009E29C5">
        <w:rPr>
          <w:sz w:val="22"/>
          <w:szCs w:val="22"/>
        </w:rPr>
        <w:t xml:space="preserve"> za </w:t>
      </w:r>
      <w:r w:rsidR="00366083" w:rsidRPr="009E29C5">
        <w:rPr>
          <w:sz w:val="22"/>
          <w:szCs w:val="22"/>
        </w:rPr>
        <w:t>21,5</w:t>
      </w:r>
      <w:r w:rsidR="00AA3D8E" w:rsidRPr="009E29C5">
        <w:rPr>
          <w:sz w:val="22"/>
          <w:szCs w:val="22"/>
        </w:rPr>
        <w:t xml:space="preserve"> </w:t>
      </w:r>
      <w:r w:rsidR="009D7356" w:rsidRPr="009E29C5">
        <w:rPr>
          <w:sz w:val="22"/>
          <w:szCs w:val="22"/>
        </w:rPr>
        <w:t xml:space="preserve">odstotne točke, kar pomeni </w:t>
      </w:r>
      <w:r w:rsidR="00BA5943" w:rsidRPr="009E29C5">
        <w:rPr>
          <w:sz w:val="22"/>
          <w:szCs w:val="22"/>
        </w:rPr>
        <w:t>2.</w:t>
      </w:r>
      <w:r w:rsidR="00237E15">
        <w:rPr>
          <w:sz w:val="22"/>
          <w:szCs w:val="22"/>
        </w:rPr>
        <w:t>143.365</w:t>
      </w:r>
      <w:r w:rsidR="00EB4971" w:rsidRPr="009E29C5">
        <w:rPr>
          <w:sz w:val="22"/>
          <w:szCs w:val="22"/>
        </w:rPr>
        <w:t xml:space="preserve"> €</w:t>
      </w:r>
      <w:r w:rsidR="008878FE" w:rsidRPr="009E29C5">
        <w:rPr>
          <w:sz w:val="22"/>
          <w:szCs w:val="22"/>
        </w:rPr>
        <w:t>.</w:t>
      </w:r>
    </w:p>
    <w:p w:rsidR="00DC008D" w:rsidRPr="009E29C5" w:rsidRDefault="00DC008D" w:rsidP="00C259FA">
      <w:pPr>
        <w:jc w:val="both"/>
        <w:rPr>
          <w:sz w:val="22"/>
          <w:szCs w:val="22"/>
        </w:rPr>
      </w:pPr>
    </w:p>
    <w:p w:rsidR="00AA228C" w:rsidRPr="009E29C5" w:rsidRDefault="00C259FA" w:rsidP="00C259FA">
      <w:pPr>
        <w:jc w:val="both"/>
        <w:rPr>
          <w:sz w:val="22"/>
          <w:szCs w:val="22"/>
        </w:rPr>
      </w:pPr>
      <w:r w:rsidRPr="009E29C5">
        <w:rPr>
          <w:sz w:val="22"/>
          <w:szCs w:val="22"/>
        </w:rPr>
        <w:t xml:space="preserve">Odstopanja so nastala na naslednjih odhodkih: </w:t>
      </w:r>
    </w:p>
    <w:p w:rsidR="00DC008D" w:rsidRPr="00BA5943" w:rsidRDefault="00AA3D8E" w:rsidP="00C259FA">
      <w:pPr>
        <w:jc w:val="both"/>
        <w:rPr>
          <w:sz w:val="22"/>
          <w:szCs w:val="22"/>
        </w:rPr>
      </w:pPr>
      <w:r w:rsidRPr="009E29C5">
        <w:rPr>
          <w:sz w:val="22"/>
          <w:szCs w:val="22"/>
        </w:rPr>
        <w:t xml:space="preserve">Tekoči odhodki se </w:t>
      </w:r>
      <w:r w:rsidR="00EB4971" w:rsidRPr="009E29C5">
        <w:rPr>
          <w:sz w:val="22"/>
          <w:szCs w:val="22"/>
        </w:rPr>
        <w:t>povečajo</w:t>
      </w:r>
      <w:r w:rsidRPr="009E29C5">
        <w:rPr>
          <w:sz w:val="22"/>
          <w:szCs w:val="22"/>
        </w:rPr>
        <w:t xml:space="preserve"> za </w:t>
      </w:r>
      <w:r w:rsidR="009E29C5" w:rsidRPr="009E29C5">
        <w:rPr>
          <w:sz w:val="22"/>
          <w:szCs w:val="22"/>
        </w:rPr>
        <w:t>22.085</w:t>
      </w:r>
      <w:r w:rsidR="00EB4971" w:rsidRPr="009E29C5">
        <w:rPr>
          <w:sz w:val="22"/>
          <w:szCs w:val="22"/>
        </w:rPr>
        <w:t xml:space="preserve"> €</w:t>
      </w:r>
      <w:r w:rsidRPr="00BA5943">
        <w:rPr>
          <w:sz w:val="22"/>
          <w:szCs w:val="22"/>
        </w:rPr>
        <w:t xml:space="preserve"> </w:t>
      </w:r>
      <w:r w:rsidR="00D13C01" w:rsidRPr="00BA5943">
        <w:rPr>
          <w:sz w:val="22"/>
          <w:szCs w:val="22"/>
        </w:rPr>
        <w:t>€</w:t>
      </w:r>
      <w:r w:rsidRPr="00BA5943">
        <w:rPr>
          <w:sz w:val="22"/>
          <w:szCs w:val="22"/>
        </w:rPr>
        <w:t xml:space="preserve">, </w:t>
      </w:r>
      <w:r w:rsidR="00E47862" w:rsidRPr="00BA5943">
        <w:rPr>
          <w:sz w:val="22"/>
          <w:szCs w:val="22"/>
        </w:rPr>
        <w:t xml:space="preserve">tekoči transferi za </w:t>
      </w:r>
      <w:r w:rsidR="00237E15">
        <w:rPr>
          <w:sz w:val="22"/>
          <w:szCs w:val="22"/>
        </w:rPr>
        <w:t>50.203</w:t>
      </w:r>
      <w:r w:rsidR="00EB4971" w:rsidRPr="00BA5943">
        <w:rPr>
          <w:sz w:val="22"/>
          <w:szCs w:val="22"/>
        </w:rPr>
        <w:t xml:space="preserve"> €</w:t>
      </w:r>
      <w:r w:rsidR="00E47862" w:rsidRPr="00BA5943">
        <w:rPr>
          <w:sz w:val="22"/>
          <w:szCs w:val="22"/>
        </w:rPr>
        <w:t xml:space="preserve">, </w:t>
      </w:r>
      <w:r w:rsidRPr="00BA5943">
        <w:rPr>
          <w:sz w:val="22"/>
          <w:szCs w:val="22"/>
        </w:rPr>
        <w:t>i</w:t>
      </w:r>
      <w:r w:rsidR="007434D5">
        <w:rPr>
          <w:sz w:val="22"/>
          <w:szCs w:val="22"/>
        </w:rPr>
        <w:t xml:space="preserve">nvesticijski odhodki </w:t>
      </w:r>
      <w:r w:rsidR="00E47862" w:rsidRPr="00BA5943">
        <w:rPr>
          <w:sz w:val="22"/>
          <w:szCs w:val="22"/>
        </w:rPr>
        <w:t xml:space="preserve">za </w:t>
      </w:r>
      <w:r w:rsidR="00D13C01" w:rsidRPr="00BA5943">
        <w:rPr>
          <w:sz w:val="22"/>
          <w:szCs w:val="22"/>
        </w:rPr>
        <w:t>1.</w:t>
      </w:r>
      <w:r w:rsidR="00BA5943" w:rsidRPr="00BA5943">
        <w:rPr>
          <w:sz w:val="22"/>
          <w:szCs w:val="22"/>
        </w:rPr>
        <w:t>621.077</w:t>
      </w:r>
      <w:r w:rsidR="00E47862" w:rsidRPr="00BA5943">
        <w:rPr>
          <w:sz w:val="22"/>
          <w:szCs w:val="22"/>
        </w:rPr>
        <w:t xml:space="preserve"> </w:t>
      </w:r>
      <w:r w:rsidR="00EB4971" w:rsidRPr="00BA5943">
        <w:rPr>
          <w:sz w:val="22"/>
          <w:szCs w:val="22"/>
        </w:rPr>
        <w:t>€</w:t>
      </w:r>
      <w:r w:rsidR="00B96243" w:rsidRPr="00BA5943">
        <w:rPr>
          <w:sz w:val="22"/>
          <w:szCs w:val="22"/>
        </w:rPr>
        <w:t xml:space="preserve"> in investicijski transferi za 450.000 €</w:t>
      </w:r>
      <w:r w:rsidR="00EB4971" w:rsidRPr="00BA5943">
        <w:rPr>
          <w:sz w:val="22"/>
          <w:szCs w:val="22"/>
        </w:rPr>
        <w:t>.</w:t>
      </w:r>
      <w:r w:rsidR="0061481F" w:rsidRPr="00BA5943">
        <w:rPr>
          <w:sz w:val="22"/>
          <w:szCs w:val="22"/>
        </w:rPr>
        <w:t xml:space="preserve"> Spremembe so nastale zaradi</w:t>
      </w:r>
      <w:r w:rsidR="00D13C01" w:rsidRPr="00BA5943">
        <w:rPr>
          <w:sz w:val="22"/>
          <w:szCs w:val="22"/>
        </w:rPr>
        <w:t xml:space="preserve"> novih projektov in</w:t>
      </w:r>
      <w:r w:rsidR="0061481F" w:rsidRPr="00BA5943">
        <w:rPr>
          <w:sz w:val="22"/>
          <w:szCs w:val="22"/>
        </w:rPr>
        <w:t xml:space="preserve"> ocen </w:t>
      </w:r>
      <w:r w:rsidR="000D142B" w:rsidRPr="00BA5943">
        <w:rPr>
          <w:sz w:val="22"/>
          <w:szCs w:val="22"/>
        </w:rPr>
        <w:t>projektov s strani projektantov</w:t>
      </w:r>
      <w:r w:rsidR="00A26C8C">
        <w:rPr>
          <w:sz w:val="22"/>
          <w:szCs w:val="22"/>
        </w:rPr>
        <w:t>,</w:t>
      </w:r>
      <w:r w:rsidR="000D142B" w:rsidRPr="00BA5943">
        <w:rPr>
          <w:sz w:val="22"/>
          <w:szCs w:val="22"/>
        </w:rPr>
        <w:t xml:space="preserve"> </w:t>
      </w:r>
      <w:r w:rsidR="00A26C8C">
        <w:rPr>
          <w:sz w:val="22"/>
          <w:szCs w:val="22"/>
        </w:rPr>
        <w:t>le te so</w:t>
      </w:r>
      <w:r w:rsidR="0061481F" w:rsidRPr="00BA5943">
        <w:rPr>
          <w:sz w:val="22"/>
          <w:szCs w:val="22"/>
        </w:rPr>
        <w:t xml:space="preserve"> prenesene v proračun. Spremembe</w:t>
      </w:r>
      <w:r w:rsidR="007434D5">
        <w:rPr>
          <w:sz w:val="22"/>
          <w:szCs w:val="22"/>
        </w:rPr>
        <w:t xml:space="preserve"> na posameznih projektih</w:t>
      </w:r>
      <w:r w:rsidR="0061481F" w:rsidRPr="00BA5943">
        <w:rPr>
          <w:sz w:val="22"/>
          <w:szCs w:val="22"/>
        </w:rPr>
        <w:t xml:space="preserve"> so vidne v proračunu in NRP.</w:t>
      </w:r>
      <w:r w:rsidR="00DC008D" w:rsidRPr="00BA5943">
        <w:rPr>
          <w:sz w:val="22"/>
          <w:szCs w:val="22"/>
        </w:rPr>
        <w:t xml:space="preserve"> </w:t>
      </w:r>
    </w:p>
    <w:p w:rsidR="00BA5943" w:rsidRPr="00FE5FEE" w:rsidRDefault="00BA5943" w:rsidP="00C259FA">
      <w:pPr>
        <w:jc w:val="both"/>
        <w:rPr>
          <w:sz w:val="22"/>
          <w:szCs w:val="22"/>
          <w:highlight w:val="yellow"/>
        </w:rPr>
      </w:pPr>
    </w:p>
    <w:p w:rsidR="00FF4AB1" w:rsidRDefault="00FF4AB1" w:rsidP="00FF4AB1">
      <w:pPr>
        <w:pStyle w:val="Napis"/>
        <w:keepNext/>
      </w:pPr>
      <w:bookmarkStart w:id="12" w:name="_Toc484612502"/>
      <w:r>
        <w:t xml:space="preserve">Tabela </w:t>
      </w:r>
      <w:fldSimple w:instr=" SEQ Tabela \* ARABIC ">
        <w:r w:rsidR="00C76CFF">
          <w:rPr>
            <w:noProof/>
          </w:rPr>
          <w:t>4</w:t>
        </w:r>
      </w:fldSimple>
      <w:r>
        <w:t xml:space="preserve"> Primerjava odhodkov v rebalansu proračuna v primerjavi s sprejetim proračunom v €</w:t>
      </w:r>
      <w:bookmarkEnd w:id="12"/>
    </w:p>
    <w:tbl>
      <w:tblPr>
        <w:tblW w:w="8860" w:type="dxa"/>
        <w:tblInd w:w="75" w:type="dxa"/>
        <w:tblCellMar>
          <w:left w:w="70" w:type="dxa"/>
          <w:right w:w="70" w:type="dxa"/>
        </w:tblCellMar>
        <w:tblLook w:val="04A0" w:firstRow="1" w:lastRow="0" w:firstColumn="1" w:lastColumn="0" w:noHBand="0" w:noVBand="1"/>
      </w:tblPr>
      <w:tblGrid>
        <w:gridCol w:w="2880"/>
        <w:gridCol w:w="1480"/>
        <w:gridCol w:w="960"/>
        <w:gridCol w:w="1500"/>
        <w:gridCol w:w="960"/>
        <w:gridCol w:w="1080"/>
      </w:tblGrid>
      <w:tr w:rsidR="00123D85" w:rsidRPr="00B2201F" w:rsidTr="00123D85">
        <w:trPr>
          <w:trHeight w:val="600"/>
        </w:trPr>
        <w:tc>
          <w:tcPr>
            <w:tcW w:w="288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VRSTA ODHODKA</w:t>
            </w:r>
          </w:p>
        </w:tc>
        <w:tc>
          <w:tcPr>
            <w:tcW w:w="1480" w:type="dxa"/>
            <w:tcBorders>
              <w:top w:val="single" w:sz="4" w:space="0" w:color="3F3F3F"/>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Sprejeti proračun</w:t>
            </w:r>
          </w:p>
        </w:tc>
        <w:tc>
          <w:tcPr>
            <w:tcW w:w="960" w:type="dxa"/>
            <w:tcBorders>
              <w:top w:val="single" w:sz="4" w:space="0" w:color="3F3F3F"/>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Delež</w:t>
            </w:r>
          </w:p>
        </w:tc>
        <w:tc>
          <w:tcPr>
            <w:tcW w:w="1500" w:type="dxa"/>
            <w:tcBorders>
              <w:top w:val="single" w:sz="4" w:space="0" w:color="3F3F3F"/>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 xml:space="preserve">Rebalans </w:t>
            </w:r>
          </w:p>
        </w:tc>
        <w:tc>
          <w:tcPr>
            <w:tcW w:w="960" w:type="dxa"/>
            <w:tcBorders>
              <w:top w:val="single" w:sz="4" w:space="0" w:color="3F3F3F"/>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Delež</w:t>
            </w:r>
          </w:p>
        </w:tc>
        <w:tc>
          <w:tcPr>
            <w:tcW w:w="1080" w:type="dxa"/>
            <w:tcBorders>
              <w:top w:val="single" w:sz="4" w:space="0" w:color="3F3F3F"/>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Indeks</w:t>
            </w:r>
          </w:p>
        </w:tc>
      </w:tr>
      <w:tr w:rsidR="00123D85" w:rsidRPr="00B2201F" w:rsidTr="00123D85">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TEKOČI ODHODKI</w:t>
            </w:r>
          </w:p>
        </w:tc>
        <w:tc>
          <w:tcPr>
            <w:tcW w:w="148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0F1D94" w:rsidP="00123D85">
            <w:pPr>
              <w:jc w:val="right"/>
              <w:rPr>
                <w:b/>
                <w:bCs/>
                <w:color w:val="3F3F3F"/>
                <w:sz w:val="22"/>
                <w:szCs w:val="22"/>
              </w:rPr>
            </w:pPr>
            <w:r>
              <w:rPr>
                <w:b/>
                <w:bCs/>
                <w:color w:val="3F3F3F"/>
                <w:sz w:val="22"/>
                <w:szCs w:val="22"/>
              </w:rPr>
              <w:t>2.039.410</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314E22" w:rsidRDefault="00314E22" w:rsidP="00123D85">
            <w:pPr>
              <w:jc w:val="right"/>
              <w:rPr>
                <w:b/>
                <w:bCs/>
                <w:color w:val="3F3F3F"/>
                <w:sz w:val="22"/>
                <w:szCs w:val="22"/>
              </w:rPr>
            </w:pPr>
            <w:r w:rsidRPr="00314E22">
              <w:rPr>
                <w:b/>
                <w:bCs/>
                <w:color w:val="3F3F3F"/>
                <w:sz w:val="22"/>
                <w:szCs w:val="22"/>
              </w:rPr>
              <w:t>20,48</w:t>
            </w:r>
          </w:p>
        </w:tc>
        <w:tc>
          <w:tcPr>
            <w:tcW w:w="150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9E29C5" w:rsidP="00123D85">
            <w:pPr>
              <w:jc w:val="right"/>
              <w:rPr>
                <w:b/>
                <w:bCs/>
                <w:color w:val="3F3F3F"/>
                <w:sz w:val="22"/>
                <w:szCs w:val="22"/>
              </w:rPr>
            </w:pPr>
            <w:r w:rsidRPr="009E29C5">
              <w:rPr>
                <w:b/>
                <w:bCs/>
                <w:color w:val="3F3F3F"/>
                <w:sz w:val="22"/>
                <w:szCs w:val="22"/>
              </w:rPr>
              <w:t>2.061.495</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F515CF" w:rsidRDefault="009E29C5" w:rsidP="00123D85">
            <w:pPr>
              <w:jc w:val="right"/>
              <w:rPr>
                <w:b/>
                <w:bCs/>
                <w:color w:val="3F3F3F"/>
                <w:sz w:val="22"/>
                <w:szCs w:val="22"/>
              </w:rPr>
            </w:pPr>
            <w:r w:rsidRPr="00F515CF">
              <w:rPr>
                <w:b/>
                <w:bCs/>
                <w:color w:val="3F3F3F"/>
                <w:sz w:val="22"/>
                <w:szCs w:val="22"/>
              </w:rPr>
              <w:t>17,04</w:t>
            </w:r>
          </w:p>
        </w:tc>
        <w:tc>
          <w:tcPr>
            <w:tcW w:w="108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9E29C5" w:rsidP="00123D85">
            <w:pPr>
              <w:jc w:val="right"/>
              <w:rPr>
                <w:b/>
                <w:bCs/>
                <w:color w:val="3F3F3F"/>
                <w:sz w:val="22"/>
                <w:szCs w:val="22"/>
              </w:rPr>
            </w:pPr>
            <w:r w:rsidRPr="009E29C5">
              <w:rPr>
                <w:b/>
                <w:bCs/>
                <w:color w:val="3F3F3F"/>
                <w:sz w:val="22"/>
                <w:szCs w:val="22"/>
              </w:rPr>
              <w:t>101,1</w:t>
            </w:r>
          </w:p>
        </w:tc>
      </w:tr>
      <w:tr w:rsidR="00123D85" w:rsidRPr="00B2201F" w:rsidTr="00123D85">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TEKOČI TRANSFERI</w:t>
            </w:r>
          </w:p>
        </w:tc>
        <w:tc>
          <w:tcPr>
            <w:tcW w:w="148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0F1D94" w:rsidP="00123D85">
            <w:pPr>
              <w:jc w:val="right"/>
              <w:rPr>
                <w:b/>
                <w:bCs/>
                <w:color w:val="3F3F3F"/>
                <w:sz w:val="22"/>
                <w:szCs w:val="22"/>
              </w:rPr>
            </w:pPr>
            <w:r>
              <w:rPr>
                <w:b/>
                <w:bCs/>
                <w:color w:val="3F3F3F"/>
                <w:sz w:val="22"/>
                <w:szCs w:val="22"/>
              </w:rPr>
              <w:t>2.254.312</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314E22" w:rsidRDefault="00314E22" w:rsidP="00123D85">
            <w:pPr>
              <w:jc w:val="right"/>
              <w:rPr>
                <w:b/>
                <w:bCs/>
                <w:color w:val="3F3F3F"/>
                <w:sz w:val="22"/>
                <w:szCs w:val="22"/>
              </w:rPr>
            </w:pPr>
            <w:r w:rsidRPr="00314E22">
              <w:rPr>
                <w:b/>
                <w:bCs/>
                <w:color w:val="3F3F3F"/>
                <w:sz w:val="22"/>
                <w:szCs w:val="22"/>
              </w:rPr>
              <w:t>22,64</w:t>
            </w:r>
          </w:p>
        </w:tc>
        <w:tc>
          <w:tcPr>
            <w:tcW w:w="150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237E15" w:rsidP="00123D85">
            <w:pPr>
              <w:jc w:val="right"/>
              <w:rPr>
                <w:b/>
                <w:bCs/>
                <w:color w:val="3F3F3F"/>
                <w:sz w:val="22"/>
                <w:szCs w:val="22"/>
              </w:rPr>
            </w:pPr>
            <w:r>
              <w:rPr>
                <w:b/>
                <w:bCs/>
                <w:color w:val="3F3F3F"/>
                <w:sz w:val="22"/>
                <w:szCs w:val="22"/>
              </w:rPr>
              <w:t>2.304.5</w:t>
            </w:r>
            <w:r w:rsidR="00314E22" w:rsidRPr="009E29C5">
              <w:rPr>
                <w:b/>
                <w:bCs/>
                <w:color w:val="3F3F3F"/>
                <w:sz w:val="22"/>
                <w:szCs w:val="22"/>
              </w:rPr>
              <w:t>1</w:t>
            </w:r>
            <w:r>
              <w:rPr>
                <w:b/>
                <w:bCs/>
                <w:color w:val="3F3F3F"/>
                <w:sz w:val="22"/>
                <w:szCs w:val="22"/>
              </w:rPr>
              <w:t>5</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F515CF" w:rsidRDefault="009E29C5" w:rsidP="00123D85">
            <w:pPr>
              <w:jc w:val="right"/>
              <w:rPr>
                <w:b/>
                <w:bCs/>
                <w:color w:val="3F3F3F"/>
                <w:sz w:val="22"/>
                <w:szCs w:val="22"/>
              </w:rPr>
            </w:pPr>
            <w:r w:rsidRPr="00F515CF">
              <w:rPr>
                <w:b/>
                <w:bCs/>
                <w:color w:val="3F3F3F"/>
                <w:sz w:val="22"/>
                <w:szCs w:val="22"/>
              </w:rPr>
              <w:t>19,04</w:t>
            </w:r>
          </w:p>
        </w:tc>
        <w:tc>
          <w:tcPr>
            <w:tcW w:w="108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5442E2" w:rsidP="00123D85">
            <w:pPr>
              <w:jc w:val="right"/>
              <w:rPr>
                <w:b/>
                <w:bCs/>
                <w:color w:val="3F3F3F"/>
                <w:sz w:val="22"/>
                <w:szCs w:val="22"/>
              </w:rPr>
            </w:pPr>
            <w:r w:rsidRPr="009E29C5">
              <w:rPr>
                <w:b/>
                <w:bCs/>
                <w:color w:val="3F3F3F"/>
                <w:sz w:val="22"/>
                <w:szCs w:val="22"/>
              </w:rPr>
              <w:t>102,2</w:t>
            </w:r>
          </w:p>
        </w:tc>
      </w:tr>
      <w:tr w:rsidR="00123D85" w:rsidRPr="00B2201F" w:rsidTr="00123D85">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INVESTICIJSKI ODHODKI</w:t>
            </w:r>
          </w:p>
        </w:tc>
        <w:tc>
          <w:tcPr>
            <w:tcW w:w="148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0F1D94" w:rsidP="00123D85">
            <w:pPr>
              <w:jc w:val="right"/>
              <w:rPr>
                <w:b/>
                <w:bCs/>
                <w:color w:val="3F3F3F"/>
                <w:sz w:val="22"/>
                <w:szCs w:val="22"/>
              </w:rPr>
            </w:pPr>
            <w:r>
              <w:rPr>
                <w:b/>
                <w:bCs/>
                <w:color w:val="3F3F3F"/>
                <w:sz w:val="22"/>
                <w:szCs w:val="22"/>
              </w:rPr>
              <w:t>5.374.865</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314E22" w:rsidRDefault="00314E22" w:rsidP="00123D85">
            <w:pPr>
              <w:jc w:val="right"/>
              <w:rPr>
                <w:b/>
                <w:bCs/>
                <w:color w:val="3F3F3F"/>
                <w:sz w:val="22"/>
                <w:szCs w:val="22"/>
              </w:rPr>
            </w:pPr>
            <w:r w:rsidRPr="00314E22">
              <w:rPr>
                <w:b/>
                <w:bCs/>
                <w:color w:val="3F3F3F"/>
                <w:sz w:val="22"/>
                <w:szCs w:val="22"/>
              </w:rPr>
              <w:t>53,98</w:t>
            </w:r>
          </w:p>
        </w:tc>
        <w:tc>
          <w:tcPr>
            <w:tcW w:w="150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BA5943" w:rsidP="00123D85">
            <w:pPr>
              <w:jc w:val="right"/>
              <w:rPr>
                <w:b/>
                <w:bCs/>
                <w:color w:val="3F3F3F"/>
                <w:sz w:val="22"/>
                <w:szCs w:val="22"/>
              </w:rPr>
            </w:pPr>
            <w:r w:rsidRPr="009E29C5">
              <w:rPr>
                <w:b/>
                <w:bCs/>
                <w:color w:val="3F3F3F"/>
                <w:sz w:val="22"/>
                <w:szCs w:val="22"/>
              </w:rPr>
              <w:t>6.995.942</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F515CF" w:rsidRDefault="009E29C5" w:rsidP="00123D85">
            <w:pPr>
              <w:jc w:val="right"/>
              <w:rPr>
                <w:b/>
                <w:bCs/>
                <w:color w:val="3F3F3F"/>
                <w:sz w:val="22"/>
                <w:szCs w:val="22"/>
              </w:rPr>
            </w:pPr>
            <w:r w:rsidRPr="00F515CF">
              <w:rPr>
                <w:b/>
                <w:bCs/>
                <w:color w:val="3F3F3F"/>
                <w:sz w:val="22"/>
                <w:szCs w:val="22"/>
              </w:rPr>
              <w:t>57,82</w:t>
            </w:r>
          </w:p>
        </w:tc>
        <w:tc>
          <w:tcPr>
            <w:tcW w:w="108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BA5943" w:rsidP="00123D85">
            <w:pPr>
              <w:jc w:val="right"/>
              <w:rPr>
                <w:b/>
                <w:bCs/>
                <w:color w:val="3F3F3F"/>
                <w:sz w:val="22"/>
                <w:szCs w:val="22"/>
              </w:rPr>
            </w:pPr>
            <w:r w:rsidRPr="009E29C5">
              <w:rPr>
                <w:b/>
                <w:bCs/>
                <w:color w:val="3F3F3F"/>
                <w:sz w:val="22"/>
                <w:szCs w:val="22"/>
              </w:rPr>
              <w:t>130,2</w:t>
            </w:r>
          </w:p>
        </w:tc>
      </w:tr>
      <w:tr w:rsidR="00123D85" w:rsidRPr="00B2201F" w:rsidTr="00123D85">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INVESTICIJSKI TRANSFERI</w:t>
            </w:r>
          </w:p>
        </w:tc>
        <w:tc>
          <w:tcPr>
            <w:tcW w:w="148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0F1D94" w:rsidP="00123D85">
            <w:pPr>
              <w:jc w:val="right"/>
              <w:rPr>
                <w:b/>
                <w:bCs/>
                <w:color w:val="3F3F3F"/>
                <w:sz w:val="22"/>
                <w:szCs w:val="22"/>
              </w:rPr>
            </w:pPr>
            <w:r>
              <w:rPr>
                <w:b/>
                <w:bCs/>
                <w:color w:val="3F3F3F"/>
                <w:sz w:val="22"/>
                <w:szCs w:val="22"/>
              </w:rPr>
              <w:t>288.699</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314E22" w:rsidRDefault="00314E22" w:rsidP="00123D85">
            <w:pPr>
              <w:jc w:val="right"/>
              <w:rPr>
                <w:b/>
                <w:bCs/>
                <w:color w:val="3F3F3F"/>
                <w:sz w:val="22"/>
                <w:szCs w:val="22"/>
              </w:rPr>
            </w:pPr>
            <w:r w:rsidRPr="00314E22">
              <w:rPr>
                <w:b/>
                <w:bCs/>
                <w:color w:val="3F3F3F"/>
                <w:sz w:val="22"/>
                <w:szCs w:val="22"/>
              </w:rPr>
              <w:t>2,90</w:t>
            </w:r>
          </w:p>
        </w:tc>
        <w:tc>
          <w:tcPr>
            <w:tcW w:w="150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BA5943" w:rsidP="00123D85">
            <w:pPr>
              <w:jc w:val="right"/>
              <w:rPr>
                <w:b/>
                <w:bCs/>
                <w:color w:val="3F3F3F"/>
                <w:sz w:val="22"/>
                <w:szCs w:val="22"/>
              </w:rPr>
            </w:pPr>
            <w:r w:rsidRPr="009E29C5">
              <w:rPr>
                <w:b/>
                <w:bCs/>
                <w:color w:val="3F3F3F"/>
                <w:sz w:val="22"/>
                <w:szCs w:val="22"/>
              </w:rPr>
              <w:t>738.699</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F515CF" w:rsidRDefault="009E29C5" w:rsidP="00123D85">
            <w:pPr>
              <w:jc w:val="right"/>
              <w:rPr>
                <w:b/>
                <w:bCs/>
                <w:color w:val="3F3F3F"/>
                <w:sz w:val="22"/>
                <w:szCs w:val="22"/>
              </w:rPr>
            </w:pPr>
            <w:r w:rsidRPr="00F515CF">
              <w:rPr>
                <w:b/>
                <w:bCs/>
                <w:color w:val="3F3F3F"/>
                <w:sz w:val="22"/>
                <w:szCs w:val="22"/>
              </w:rPr>
              <w:t>6,10</w:t>
            </w:r>
          </w:p>
        </w:tc>
        <w:tc>
          <w:tcPr>
            <w:tcW w:w="108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5442E2" w:rsidP="00123D85">
            <w:pPr>
              <w:jc w:val="right"/>
              <w:rPr>
                <w:b/>
                <w:bCs/>
                <w:color w:val="3F3F3F"/>
                <w:sz w:val="22"/>
                <w:szCs w:val="22"/>
              </w:rPr>
            </w:pPr>
            <w:r w:rsidRPr="009E29C5">
              <w:rPr>
                <w:b/>
                <w:bCs/>
                <w:color w:val="3F3F3F"/>
                <w:sz w:val="22"/>
                <w:szCs w:val="22"/>
              </w:rPr>
              <w:t>255,9</w:t>
            </w:r>
          </w:p>
        </w:tc>
      </w:tr>
      <w:tr w:rsidR="00123D85" w:rsidRPr="00B2201F" w:rsidTr="00123D85">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SKUPAJ ODHODKI</w:t>
            </w:r>
          </w:p>
        </w:tc>
        <w:tc>
          <w:tcPr>
            <w:tcW w:w="148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314E22" w:rsidP="00123D85">
            <w:pPr>
              <w:jc w:val="right"/>
              <w:rPr>
                <w:b/>
                <w:bCs/>
                <w:color w:val="3F3F3F"/>
                <w:sz w:val="22"/>
                <w:szCs w:val="22"/>
              </w:rPr>
            </w:pPr>
            <w:r>
              <w:rPr>
                <w:b/>
                <w:bCs/>
                <w:color w:val="3F3F3F"/>
                <w:sz w:val="22"/>
                <w:szCs w:val="22"/>
              </w:rPr>
              <w:t>9.957.286</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123D85" w:rsidP="00123D85">
            <w:pPr>
              <w:jc w:val="right"/>
              <w:rPr>
                <w:b/>
                <w:bCs/>
                <w:color w:val="3F3F3F"/>
                <w:sz w:val="22"/>
                <w:szCs w:val="22"/>
              </w:rPr>
            </w:pPr>
            <w:r w:rsidRPr="00B2201F">
              <w:rPr>
                <w:b/>
                <w:bCs/>
                <w:color w:val="3F3F3F"/>
                <w:sz w:val="22"/>
                <w:szCs w:val="22"/>
              </w:rPr>
              <w:t>100,00</w:t>
            </w:r>
          </w:p>
        </w:tc>
        <w:tc>
          <w:tcPr>
            <w:tcW w:w="150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BA5943" w:rsidP="00237E15">
            <w:pPr>
              <w:jc w:val="right"/>
              <w:rPr>
                <w:b/>
                <w:bCs/>
                <w:color w:val="3F3F3F"/>
                <w:sz w:val="22"/>
                <w:szCs w:val="22"/>
              </w:rPr>
            </w:pPr>
            <w:r w:rsidRPr="009E29C5">
              <w:rPr>
                <w:b/>
                <w:bCs/>
                <w:color w:val="3F3F3F"/>
                <w:sz w:val="22"/>
                <w:szCs w:val="22"/>
              </w:rPr>
              <w:t>12.</w:t>
            </w:r>
            <w:r w:rsidR="009E29C5" w:rsidRPr="009E29C5">
              <w:rPr>
                <w:b/>
                <w:bCs/>
                <w:color w:val="3F3F3F"/>
                <w:sz w:val="22"/>
                <w:szCs w:val="22"/>
              </w:rPr>
              <w:t>100.</w:t>
            </w:r>
            <w:r w:rsidR="00237E15">
              <w:rPr>
                <w:b/>
                <w:bCs/>
                <w:color w:val="3F3F3F"/>
                <w:sz w:val="22"/>
                <w:szCs w:val="22"/>
              </w:rPr>
              <w:t>651</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F515CF" w:rsidRDefault="00123D85" w:rsidP="00123D85">
            <w:pPr>
              <w:jc w:val="right"/>
              <w:rPr>
                <w:b/>
                <w:bCs/>
                <w:color w:val="3F3F3F"/>
                <w:sz w:val="22"/>
                <w:szCs w:val="22"/>
              </w:rPr>
            </w:pPr>
            <w:r w:rsidRPr="00F515CF">
              <w:rPr>
                <w:b/>
                <w:bCs/>
                <w:color w:val="3F3F3F"/>
                <w:sz w:val="22"/>
                <w:szCs w:val="22"/>
              </w:rPr>
              <w:t>100,00</w:t>
            </w:r>
          </w:p>
        </w:tc>
        <w:tc>
          <w:tcPr>
            <w:tcW w:w="1080" w:type="dxa"/>
            <w:tcBorders>
              <w:top w:val="nil"/>
              <w:left w:val="nil"/>
              <w:bottom w:val="single" w:sz="4" w:space="0" w:color="3F3F3F"/>
              <w:right w:val="single" w:sz="4" w:space="0" w:color="3F3F3F"/>
            </w:tcBorders>
            <w:shd w:val="clear" w:color="000000" w:fill="F2F2F2"/>
            <w:noWrap/>
            <w:vAlign w:val="bottom"/>
            <w:hideMark/>
          </w:tcPr>
          <w:p w:rsidR="00123D85" w:rsidRPr="009E29C5" w:rsidRDefault="00BA5943" w:rsidP="009E29C5">
            <w:pPr>
              <w:jc w:val="right"/>
              <w:rPr>
                <w:b/>
                <w:bCs/>
                <w:color w:val="3F3F3F"/>
                <w:sz w:val="22"/>
                <w:szCs w:val="22"/>
              </w:rPr>
            </w:pPr>
            <w:r w:rsidRPr="009E29C5">
              <w:rPr>
                <w:b/>
                <w:bCs/>
                <w:color w:val="3F3F3F"/>
                <w:sz w:val="22"/>
                <w:szCs w:val="22"/>
              </w:rPr>
              <w:t>121,</w:t>
            </w:r>
            <w:r w:rsidR="009E29C5" w:rsidRPr="009E29C5">
              <w:rPr>
                <w:b/>
                <w:bCs/>
                <w:color w:val="3F3F3F"/>
                <w:sz w:val="22"/>
                <w:szCs w:val="22"/>
              </w:rPr>
              <w:t>5</w:t>
            </w:r>
          </w:p>
        </w:tc>
      </w:tr>
    </w:tbl>
    <w:p w:rsidR="00CD07EE" w:rsidRPr="00B2201F" w:rsidRDefault="00CD07EE" w:rsidP="00C259FA">
      <w:pPr>
        <w:jc w:val="both"/>
        <w:rPr>
          <w:sz w:val="22"/>
          <w:szCs w:val="22"/>
        </w:rPr>
      </w:pPr>
    </w:p>
    <w:p w:rsidR="00FF4AB1" w:rsidRDefault="00FF4AB1" w:rsidP="00FF4AB1">
      <w:pPr>
        <w:pStyle w:val="Napis"/>
        <w:keepNext/>
      </w:pPr>
      <w:bookmarkStart w:id="13" w:name="_Toc484612503"/>
      <w:r>
        <w:t xml:space="preserve">Tabela </w:t>
      </w:r>
      <w:fldSimple w:instr=" SEQ Tabela \* ARABIC ">
        <w:r w:rsidR="00C76CFF">
          <w:rPr>
            <w:noProof/>
          </w:rPr>
          <w:t>5</w:t>
        </w:r>
      </w:fldSimple>
      <w:r>
        <w:t xml:space="preserve"> Sredstva za kritje odhodkov in izdatkov iz proračuna</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2418"/>
      </w:tblGrid>
      <w:tr w:rsidR="00C259FA" w:rsidRPr="00303B18" w:rsidTr="00DC008D">
        <w:tc>
          <w:tcPr>
            <w:tcW w:w="6663" w:type="dxa"/>
          </w:tcPr>
          <w:p w:rsidR="00C259FA" w:rsidRPr="00303B18" w:rsidRDefault="00732F37" w:rsidP="000A66C4">
            <w:pPr>
              <w:numPr>
                <w:ilvl w:val="0"/>
                <w:numId w:val="29"/>
              </w:numPr>
              <w:jc w:val="both"/>
              <w:rPr>
                <w:sz w:val="22"/>
                <w:szCs w:val="22"/>
              </w:rPr>
            </w:pPr>
            <w:r w:rsidRPr="00303B18">
              <w:rPr>
                <w:sz w:val="22"/>
                <w:szCs w:val="22"/>
              </w:rPr>
              <w:t>Odhodki proračuna</w:t>
            </w:r>
          </w:p>
        </w:tc>
        <w:tc>
          <w:tcPr>
            <w:tcW w:w="2454" w:type="dxa"/>
          </w:tcPr>
          <w:p w:rsidR="00C259FA" w:rsidRPr="00303B18" w:rsidRDefault="006776CB" w:rsidP="0004090E">
            <w:pPr>
              <w:jc w:val="right"/>
              <w:rPr>
                <w:sz w:val="22"/>
                <w:szCs w:val="22"/>
              </w:rPr>
            </w:pPr>
            <w:r w:rsidRPr="00303B18">
              <w:rPr>
                <w:sz w:val="22"/>
                <w:szCs w:val="22"/>
              </w:rPr>
              <w:t>12.100.</w:t>
            </w:r>
            <w:r w:rsidR="0004090E">
              <w:rPr>
                <w:sz w:val="22"/>
                <w:szCs w:val="22"/>
              </w:rPr>
              <w:t>651</w:t>
            </w:r>
            <w:r w:rsidR="00787374" w:rsidRPr="00303B18">
              <w:rPr>
                <w:sz w:val="22"/>
                <w:szCs w:val="22"/>
              </w:rPr>
              <w:t xml:space="preserve"> </w:t>
            </w:r>
            <w:r w:rsidR="000A66C4" w:rsidRPr="00303B18">
              <w:rPr>
                <w:sz w:val="22"/>
                <w:szCs w:val="22"/>
              </w:rPr>
              <w:t>€</w:t>
            </w:r>
          </w:p>
        </w:tc>
      </w:tr>
      <w:tr w:rsidR="00B933FF" w:rsidRPr="00303B18" w:rsidTr="00DC008D">
        <w:tc>
          <w:tcPr>
            <w:tcW w:w="6663" w:type="dxa"/>
          </w:tcPr>
          <w:p w:rsidR="00B933FF" w:rsidRPr="00303B18" w:rsidRDefault="00732F37" w:rsidP="000A66C4">
            <w:pPr>
              <w:numPr>
                <w:ilvl w:val="0"/>
                <w:numId w:val="29"/>
              </w:numPr>
              <w:jc w:val="both"/>
              <w:rPr>
                <w:sz w:val="22"/>
                <w:szCs w:val="22"/>
              </w:rPr>
            </w:pPr>
            <w:r w:rsidRPr="00303B18">
              <w:rPr>
                <w:sz w:val="22"/>
                <w:szCs w:val="22"/>
              </w:rPr>
              <w:t xml:space="preserve">Odhodki za finančne naložbe </w:t>
            </w:r>
            <w:r w:rsidR="00B933FF" w:rsidRPr="00303B18">
              <w:rPr>
                <w:sz w:val="22"/>
                <w:szCs w:val="22"/>
              </w:rPr>
              <w:t xml:space="preserve"> </w:t>
            </w:r>
          </w:p>
        </w:tc>
        <w:tc>
          <w:tcPr>
            <w:tcW w:w="2454" w:type="dxa"/>
          </w:tcPr>
          <w:p w:rsidR="00B933FF" w:rsidRPr="00303B18" w:rsidRDefault="005442E2" w:rsidP="000A66C4">
            <w:pPr>
              <w:jc w:val="right"/>
              <w:rPr>
                <w:sz w:val="22"/>
                <w:szCs w:val="22"/>
              </w:rPr>
            </w:pPr>
            <w:r w:rsidRPr="00303B18">
              <w:rPr>
                <w:sz w:val="22"/>
                <w:szCs w:val="22"/>
              </w:rPr>
              <w:t>5.000</w:t>
            </w:r>
            <w:r w:rsidR="00B933FF" w:rsidRPr="00303B18">
              <w:rPr>
                <w:sz w:val="22"/>
                <w:szCs w:val="22"/>
              </w:rPr>
              <w:t xml:space="preserve"> </w:t>
            </w:r>
            <w:r w:rsidR="000A66C4" w:rsidRPr="00303B18">
              <w:rPr>
                <w:sz w:val="22"/>
                <w:szCs w:val="22"/>
              </w:rPr>
              <w:t>€</w:t>
            </w:r>
          </w:p>
        </w:tc>
      </w:tr>
      <w:tr w:rsidR="009428DA" w:rsidRPr="00303B18" w:rsidTr="00DC008D">
        <w:tc>
          <w:tcPr>
            <w:tcW w:w="6663" w:type="dxa"/>
          </w:tcPr>
          <w:p w:rsidR="009428DA" w:rsidRPr="00303B18" w:rsidRDefault="005442E2" w:rsidP="000A66C4">
            <w:pPr>
              <w:numPr>
                <w:ilvl w:val="0"/>
                <w:numId w:val="29"/>
              </w:numPr>
              <w:rPr>
                <w:sz w:val="22"/>
                <w:szCs w:val="22"/>
              </w:rPr>
            </w:pPr>
            <w:r w:rsidRPr="00303B18">
              <w:rPr>
                <w:sz w:val="22"/>
                <w:szCs w:val="22"/>
              </w:rPr>
              <w:t>Zadolževanje</w:t>
            </w:r>
          </w:p>
        </w:tc>
        <w:tc>
          <w:tcPr>
            <w:tcW w:w="2454" w:type="dxa"/>
          </w:tcPr>
          <w:p w:rsidR="009428DA" w:rsidRPr="00303B18" w:rsidRDefault="00383B06" w:rsidP="005442E2">
            <w:pPr>
              <w:jc w:val="right"/>
              <w:rPr>
                <w:sz w:val="22"/>
                <w:szCs w:val="22"/>
              </w:rPr>
            </w:pPr>
            <w:r w:rsidRPr="00303B18">
              <w:rPr>
                <w:sz w:val="22"/>
                <w:szCs w:val="22"/>
              </w:rPr>
              <w:t>0</w:t>
            </w:r>
            <w:r w:rsidR="000A66C4" w:rsidRPr="00303B18">
              <w:rPr>
                <w:sz w:val="22"/>
                <w:szCs w:val="22"/>
              </w:rPr>
              <w:t xml:space="preserve"> </w:t>
            </w:r>
            <w:r w:rsidR="005442E2" w:rsidRPr="00303B18">
              <w:rPr>
                <w:sz w:val="22"/>
                <w:szCs w:val="22"/>
              </w:rPr>
              <w:t>€</w:t>
            </w:r>
            <w:r w:rsidR="000A66C4" w:rsidRPr="00303B18">
              <w:rPr>
                <w:sz w:val="22"/>
                <w:szCs w:val="22"/>
              </w:rPr>
              <w:t xml:space="preserve">          </w:t>
            </w:r>
            <w:r w:rsidR="00DC008D" w:rsidRPr="00303B18">
              <w:rPr>
                <w:sz w:val="22"/>
                <w:szCs w:val="22"/>
              </w:rPr>
              <w:t xml:space="preserve"> </w:t>
            </w:r>
            <w:r w:rsidR="000A66C4" w:rsidRPr="00303B18">
              <w:rPr>
                <w:sz w:val="22"/>
                <w:szCs w:val="22"/>
              </w:rPr>
              <w:t xml:space="preserve"> </w:t>
            </w:r>
          </w:p>
        </w:tc>
      </w:tr>
      <w:tr w:rsidR="000A66C4" w:rsidRPr="00303B18" w:rsidTr="00DC008D">
        <w:tc>
          <w:tcPr>
            <w:tcW w:w="6663" w:type="dxa"/>
          </w:tcPr>
          <w:p w:rsidR="000A66C4" w:rsidRPr="00303B18" w:rsidRDefault="000A66C4" w:rsidP="00856B73">
            <w:pPr>
              <w:rPr>
                <w:b/>
                <w:sz w:val="22"/>
                <w:szCs w:val="22"/>
              </w:rPr>
            </w:pPr>
            <w:r w:rsidRPr="00303B18">
              <w:rPr>
                <w:b/>
                <w:sz w:val="22"/>
                <w:szCs w:val="22"/>
              </w:rPr>
              <w:t>SKUPAJ ODHODKI IN IZDATKI IZ PRORAČUNA</w:t>
            </w:r>
          </w:p>
        </w:tc>
        <w:tc>
          <w:tcPr>
            <w:tcW w:w="2454" w:type="dxa"/>
          </w:tcPr>
          <w:p w:rsidR="000A66C4" w:rsidRPr="00303B18" w:rsidRDefault="00BA5943" w:rsidP="0004090E">
            <w:pPr>
              <w:jc w:val="right"/>
              <w:rPr>
                <w:b/>
                <w:sz w:val="22"/>
                <w:szCs w:val="22"/>
              </w:rPr>
            </w:pPr>
            <w:r w:rsidRPr="00303B18">
              <w:rPr>
                <w:b/>
                <w:sz w:val="22"/>
                <w:szCs w:val="22"/>
              </w:rPr>
              <w:t>12.</w:t>
            </w:r>
            <w:r w:rsidR="006776CB" w:rsidRPr="00303B18">
              <w:rPr>
                <w:b/>
                <w:sz w:val="22"/>
                <w:szCs w:val="22"/>
              </w:rPr>
              <w:t>105.</w:t>
            </w:r>
            <w:r w:rsidR="0004090E">
              <w:rPr>
                <w:b/>
                <w:sz w:val="22"/>
                <w:szCs w:val="22"/>
              </w:rPr>
              <w:t>651</w:t>
            </w:r>
            <w:r w:rsidRPr="00303B18">
              <w:rPr>
                <w:b/>
                <w:sz w:val="22"/>
                <w:szCs w:val="22"/>
              </w:rPr>
              <w:t xml:space="preserve"> </w:t>
            </w:r>
            <w:r w:rsidR="005442E2" w:rsidRPr="00303B18">
              <w:rPr>
                <w:b/>
                <w:sz w:val="22"/>
                <w:szCs w:val="22"/>
              </w:rPr>
              <w:t>€</w:t>
            </w:r>
          </w:p>
        </w:tc>
      </w:tr>
    </w:tbl>
    <w:p w:rsidR="00C259FA" w:rsidRPr="00303B18" w:rsidRDefault="00C259FA" w:rsidP="00C259FA">
      <w:pPr>
        <w:pStyle w:val="Naslov3"/>
        <w:rPr>
          <w:sz w:val="22"/>
          <w:szCs w:val="22"/>
        </w:rPr>
      </w:pPr>
    </w:p>
    <w:p w:rsidR="00E47862" w:rsidRPr="00303B18" w:rsidRDefault="00E47862" w:rsidP="00E478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2420"/>
      </w:tblGrid>
      <w:tr w:rsidR="009428DA" w:rsidRPr="00303B18" w:rsidTr="00DC008D">
        <w:tc>
          <w:tcPr>
            <w:tcW w:w="6663" w:type="dxa"/>
          </w:tcPr>
          <w:p w:rsidR="009428DA" w:rsidRPr="00303B18" w:rsidRDefault="00EC22E3" w:rsidP="00EC22E3">
            <w:pPr>
              <w:numPr>
                <w:ilvl w:val="0"/>
                <w:numId w:val="28"/>
              </w:numPr>
              <w:rPr>
                <w:sz w:val="22"/>
                <w:szCs w:val="22"/>
              </w:rPr>
            </w:pPr>
            <w:r w:rsidRPr="00303B18">
              <w:rPr>
                <w:sz w:val="22"/>
                <w:szCs w:val="22"/>
              </w:rPr>
              <w:t>Prihodki proračuna</w:t>
            </w:r>
          </w:p>
        </w:tc>
        <w:tc>
          <w:tcPr>
            <w:tcW w:w="2454" w:type="dxa"/>
          </w:tcPr>
          <w:p w:rsidR="009428DA" w:rsidRPr="00303B18" w:rsidRDefault="00DE30A9" w:rsidP="0004090E">
            <w:pPr>
              <w:jc w:val="right"/>
              <w:rPr>
                <w:sz w:val="22"/>
                <w:szCs w:val="22"/>
              </w:rPr>
            </w:pPr>
            <w:r>
              <w:rPr>
                <w:sz w:val="22"/>
                <w:szCs w:val="22"/>
              </w:rPr>
              <w:t>8.674.207</w:t>
            </w:r>
            <w:r w:rsidR="000A66C4" w:rsidRPr="00303B18">
              <w:rPr>
                <w:sz w:val="22"/>
                <w:szCs w:val="22"/>
              </w:rPr>
              <w:t xml:space="preserve"> €</w:t>
            </w:r>
          </w:p>
        </w:tc>
      </w:tr>
      <w:tr w:rsidR="009428DA" w:rsidRPr="00303B18" w:rsidTr="00DC008D">
        <w:tc>
          <w:tcPr>
            <w:tcW w:w="6663" w:type="dxa"/>
          </w:tcPr>
          <w:p w:rsidR="009428DA" w:rsidRPr="00303B18" w:rsidRDefault="004465F4" w:rsidP="00B5410D">
            <w:pPr>
              <w:numPr>
                <w:ilvl w:val="0"/>
                <w:numId w:val="28"/>
              </w:numPr>
              <w:rPr>
                <w:sz w:val="22"/>
                <w:szCs w:val="22"/>
              </w:rPr>
            </w:pPr>
            <w:r w:rsidRPr="00303B18">
              <w:rPr>
                <w:sz w:val="22"/>
                <w:szCs w:val="22"/>
              </w:rPr>
              <w:t>Sredstva na računih</w:t>
            </w:r>
            <w:r w:rsidR="009F3E31" w:rsidRPr="00303B18">
              <w:rPr>
                <w:sz w:val="22"/>
                <w:szCs w:val="22"/>
              </w:rPr>
              <w:t xml:space="preserve"> na dan 31.12.2016</w:t>
            </w:r>
          </w:p>
        </w:tc>
        <w:tc>
          <w:tcPr>
            <w:tcW w:w="2454" w:type="dxa"/>
          </w:tcPr>
          <w:p w:rsidR="009428DA" w:rsidRPr="00303B18" w:rsidRDefault="00DE30A9" w:rsidP="005442E2">
            <w:pPr>
              <w:jc w:val="right"/>
              <w:rPr>
                <w:sz w:val="22"/>
                <w:szCs w:val="22"/>
              </w:rPr>
            </w:pPr>
            <w:r>
              <w:rPr>
                <w:sz w:val="22"/>
                <w:szCs w:val="22"/>
              </w:rPr>
              <w:t>2.173.741</w:t>
            </w:r>
            <w:r w:rsidR="000A66C4" w:rsidRPr="00303B18">
              <w:rPr>
                <w:sz w:val="22"/>
                <w:szCs w:val="22"/>
              </w:rPr>
              <w:t xml:space="preserve"> €</w:t>
            </w:r>
          </w:p>
        </w:tc>
      </w:tr>
      <w:tr w:rsidR="009428DA" w:rsidRPr="00303B18" w:rsidTr="00DC008D">
        <w:tc>
          <w:tcPr>
            <w:tcW w:w="6663" w:type="dxa"/>
          </w:tcPr>
          <w:p w:rsidR="009428DA" w:rsidRPr="00303B18" w:rsidRDefault="000A66C4" w:rsidP="00787374">
            <w:pPr>
              <w:numPr>
                <w:ilvl w:val="0"/>
                <w:numId w:val="28"/>
              </w:numPr>
              <w:rPr>
                <w:sz w:val="22"/>
                <w:szCs w:val="22"/>
              </w:rPr>
            </w:pPr>
            <w:r w:rsidRPr="00303B18">
              <w:rPr>
                <w:sz w:val="22"/>
                <w:szCs w:val="22"/>
              </w:rPr>
              <w:t>Prodaja kapitalskih deležev</w:t>
            </w:r>
          </w:p>
        </w:tc>
        <w:tc>
          <w:tcPr>
            <w:tcW w:w="2454" w:type="dxa"/>
          </w:tcPr>
          <w:p w:rsidR="009428DA" w:rsidRPr="00303B18" w:rsidRDefault="00DC008D" w:rsidP="005442E2">
            <w:pPr>
              <w:jc w:val="right"/>
              <w:rPr>
                <w:sz w:val="22"/>
                <w:szCs w:val="22"/>
              </w:rPr>
            </w:pPr>
            <w:r w:rsidRPr="00303B18">
              <w:rPr>
                <w:sz w:val="22"/>
                <w:szCs w:val="22"/>
              </w:rPr>
              <w:t xml:space="preserve">           </w:t>
            </w:r>
            <w:r w:rsidR="000A66C4" w:rsidRPr="00303B18">
              <w:rPr>
                <w:sz w:val="22"/>
                <w:szCs w:val="22"/>
              </w:rPr>
              <w:t xml:space="preserve">       </w:t>
            </w:r>
            <w:r w:rsidRPr="00303B18">
              <w:rPr>
                <w:sz w:val="22"/>
                <w:szCs w:val="22"/>
              </w:rPr>
              <w:t xml:space="preserve">   </w:t>
            </w:r>
            <w:r w:rsidR="005442E2" w:rsidRPr="00303B18">
              <w:rPr>
                <w:sz w:val="22"/>
                <w:szCs w:val="22"/>
              </w:rPr>
              <w:t>257.703</w:t>
            </w:r>
            <w:r w:rsidR="000A66C4" w:rsidRPr="00303B18">
              <w:rPr>
                <w:sz w:val="22"/>
                <w:szCs w:val="22"/>
              </w:rPr>
              <w:t xml:space="preserve"> €</w:t>
            </w:r>
          </w:p>
        </w:tc>
      </w:tr>
      <w:tr w:rsidR="00DC008D" w:rsidRPr="00303B18" w:rsidTr="00DC008D">
        <w:tc>
          <w:tcPr>
            <w:tcW w:w="6663" w:type="dxa"/>
          </w:tcPr>
          <w:p w:rsidR="00DC008D" w:rsidRPr="00303B18" w:rsidRDefault="00DC008D" w:rsidP="00787374">
            <w:pPr>
              <w:numPr>
                <w:ilvl w:val="0"/>
                <w:numId w:val="28"/>
              </w:numPr>
              <w:rPr>
                <w:sz w:val="22"/>
                <w:szCs w:val="22"/>
              </w:rPr>
            </w:pPr>
            <w:r w:rsidRPr="00303B18">
              <w:rPr>
                <w:sz w:val="22"/>
                <w:szCs w:val="22"/>
              </w:rPr>
              <w:t>Najeti krediti</w:t>
            </w:r>
          </w:p>
        </w:tc>
        <w:tc>
          <w:tcPr>
            <w:tcW w:w="2454" w:type="dxa"/>
          </w:tcPr>
          <w:p w:rsidR="00DC008D" w:rsidRPr="00303B18" w:rsidRDefault="00DE30A9" w:rsidP="005442E2">
            <w:pPr>
              <w:jc w:val="right"/>
              <w:rPr>
                <w:sz w:val="22"/>
                <w:szCs w:val="22"/>
              </w:rPr>
            </w:pPr>
            <w:r>
              <w:rPr>
                <w:sz w:val="22"/>
                <w:szCs w:val="22"/>
              </w:rPr>
              <w:t>1.0</w:t>
            </w:r>
            <w:r w:rsidR="005442E2" w:rsidRPr="00303B18">
              <w:rPr>
                <w:sz w:val="22"/>
                <w:szCs w:val="22"/>
              </w:rPr>
              <w:t>00.000</w:t>
            </w:r>
            <w:r w:rsidR="00DC008D" w:rsidRPr="00303B18">
              <w:rPr>
                <w:sz w:val="22"/>
                <w:szCs w:val="22"/>
              </w:rPr>
              <w:t xml:space="preserve"> </w:t>
            </w:r>
            <w:r w:rsidR="000A66C4" w:rsidRPr="00303B18">
              <w:rPr>
                <w:sz w:val="22"/>
                <w:szCs w:val="22"/>
              </w:rPr>
              <w:t>€</w:t>
            </w:r>
          </w:p>
        </w:tc>
      </w:tr>
      <w:tr w:rsidR="009428DA" w:rsidRPr="00B2201F" w:rsidTr="00DC008D">
        <w:tc>
          <w:tcPr>
            <w:tcW w:w="6663" w:type="dxa"/>
          </w:tcPr>
          <w:p w:rsidR="009428DA" w:rsidRPr="00303B18" w:rsidRDefault="009428DA" w:rsidP="009428DA">
            <w:pPr>
              <w:rPr>
                <w:b/>
                <w:sz w:val="22"/>
                <w:szCs w:val="22"/>
              </w:rPr>
            </w:pPr>
            <w:r w:rsidRPr="00303B18">
              <w:rPr>
                <w:b/>
                <w:sz w:val="22"/>
                <w:szCs w:val="22"/>
              </w:rPr>
              <w:t>SKUPAJ PRIHODKI IN PREJEMKI PRORAČUNA</w:t>
            </w:r>
          </w:p>
        </w:tc>
        <w:tc>
          <w:tcPr>
            <w:tcW w:w="2454" w:type="dxa"/>
          </w:tcPr>
          <w:p w:rsidR="009428DA" w:rsidRPr="00303B18" w:rsidRDefault="00DC008D" w:rsidP="0004090E">
            <w:pPr>
              <w:jc w:val="right"/>
              <w:rPr>
                <w:b/>
                <w:sz w:val="22"/>
                <w:szCs w:val="22"/>
              </w:rPr>
            </w:pPr>
            <w:r w:rsidRPr="00303B18">
              <w:rPr>
                <w:b/>
                <w:sz w:val="22"/>
                <w:szCs w:val="22"/>
              </w:rPr>
              <w:t xml:space="preserve">   </w:t>
            </w:r>
            <w:r w:rsidR="000A66C4" w:rsidRPr="00303B18">
              <w:rPr>
                <w:b/>
                <w:sz w:val="22"/>
                <w:szCs w:val="22"/>
              </w:rPr>
              <w:t xml:space="preserve">            </w:t>
            </w:r>
            <w:r w:rsidRPr="00303B18">
              <w:rPr>
                <w:b/>
                <w:sz w:val="22"/>
                <w:szCs w:val="22"/>
              </w:rPr>
              <w:t xml:space="preserve"> </w:t>
            </w:r>
            <w:r w:rsidR="005442E2" w:rsidRPr="00303B18">
              <w:rPr>
                <w:b/>
                <w:sz w:val="22"/>
                <w:szCs w:val="22"/>
              </w:rPr>
              <w:t>12.</w:t>
            </w:r>
            <w:r w:rsidR="00FA13B4" w:rsidRPr="00303B18">
              <w:rPr>
                <w:b/>
                <w:sz w:val="22"/>
                <w:szCs w:val="22"/>
              </w:rPr>
              <w:t>1</w:t>
            </w:r>
            <w:r w:rsidR="001455C8" w:rsidRPr="00303B18">
              <w:rPr>
                <w:b/>
                <w:sz w:val="22"/>
                <w:szCs w:val="22"/>
              </w:rPr>
              <w:t>05.</w:t>
            </w:r>
            <w:r w:rsidR="0004090E">
              <w:rPr>
                <w:b/>
                <w:sz w:val="22"/>
                <w:szCs w:val="22"/>
              </w:rPr>
              <w:t>651</w:t>
            </w:r>
            <w:r w:rsidR="001455C8" w:rsidRPr="00303B18">
              <w:rPr>
                <w:b/>
                <w:sz w:val="22"/>
                <w:szCs w:val="22"/>
              </w:rPr>
              <w:t xml:space="preserve"> </w:t>
            </w:r>
            <w:r w:rsidR="005442E2" w:rsidRPr="00303B18">
              <w:rPr>
                <w:b/>
                <w:sz w:val="22"/>
                <w:szCs w:val="22"/>
              </w:rPr>
              <w:t>€</w:t>
            </w:r>
          </w:p>
        </w:tc>
      </w:tr>
    </w:tbl>
    <w:p w:rsidR="009428DA" w:rsidRPr="00B2201F" w:rsidRDefault="009428DA" w:rsidP="001360A1">
      <w:pPr>
        <w:jc w:val="both"/>
        <w:rPr>
          <w:sz w:val="22"/>
          <w:szCs w:val="22"/>
        </w:rPr>
      </w:pPr>
    </w:p>
    <w:p w:rsidR="00DC008D" w:rsidRPr="00B2201F" w:rsidRDefault="00DC008D" w:rsidP="001360A1">
      <w:pPr>
        <w:jc w:val="both"/>
        <w:rPr>
          <w:sz w:val="22"/>
          <w:szCs w:val="22"/>
        </w:rPr>
      </w:pPr>
      <w:r w:rsidRPr="00B2201F">
        <w:rPr>
          <w:sz w:val="22"/>
          <w:szCs w:val="22"/>
        </w:rPr>
        <w:t>V bilanci prihodkov in odhodkov je izkazan p</w:t>
      </w:r>
      <w:r w:rsidR="00EB1C5D" w:rsidRPr="00B2201F">
        <w:rPr>
          <w:sz w:val="22"/>
          <w:szCs w:val="22"/>
        </w:rPr>
        <w:t xml:space="preserve">resežek odhodkov nad prihodki </w:t>
      </w:r>
      <w:r w:rsidRPr="00B2201F">
        <w:rPr>
          <w:sz w:val="22"/>
          <w:szCs w:val="22"/>
        </w:rPr>
        <w:t>v vrednosti</w:t>
      </w:r>
      <w:r w:rsidR="007329EE" w:rsidRPr="00B2201F">
        <w:rPr>
          <w:sz w:val="22"/>
          <w:szCs w:val="22"/>
        </w:rPr>
        <w:t xml:space="preserve"> </w:t>
      </w:r>
      <w:r w:rsidR="00A06903">
        <w:rPr>
          <w:sz w:val="22"/>
          <w:szCs w:val="22"/>
        </w:rPr>
        <w:t>3.426.444</w:t>
      </w:r>
      <w:r w:rsidRPr="00B2201F">
        <w:rPr>
          <w:sz w:val="22"/>
          <w:szCs w:val="22"/>
        </w:rPr>
        <w:t xml:space="preserve"> </w:t>
      </w:r>
      <w:r w:rsidR="005442E2">
        <w:rPr>
          <w:sz w:val="22"/>
          <w:szCs w:val="22"/>
        </w:rPr>
        <w:t>€</w:t>
      </w:r>
      <w:r w:rsidR="008713B3">
        <w:rPr>
          <w:sz w:val="22"/>
          <w:szCs w:val="22"/>
        </w:rPr>
        <w:t>.</w:t>
      </w:r>
    </w:p>
    <w:p w:rsidR="008042D5" w:rsidRPr="00B2201F" w:rsidRDefault="00DC008D" w:rsidP="001360A1">
      <w:pPr>
        <w:jc w:val="both"/>
        <w:rPr>
          <w:sz w:val="22"/>
          <w:szCs w:val="22"/>
        </w:rPr>
      </w:pPr>
      <w:r w:rsidRPr="00B2201F">
        <w:rPr>
          <w:sz w:val="22"/>
          <w:szCs w:val="22"/>
        </w:rPr>
        <w:t>V računi</w:t>
      </w:r>
      <w:r w:rsidR="00315C3C" w:rsidRPr="00B2201F">
        <w:rPr>
          <w:sz w:val="22"/>
          <w:szCs w:val="22"/>
        </w:rPr>
        <w:t>h</w:t>
      </w:r>
      <w:r w:rsidRPr="00B2201F">
        <w:rPr>
          <w:sz w:val="22"/>
          <w:szCs w:val="22"/>
        </w:rPr>
        <w:t xml:space="preserve"> finančnih terjatev in naložb </w:t>
      </w:r>
      <w:r w:rsidR="008042D5" w:rsidRPr="00B2201F">
        <w:rPr>
          <w:sz w:val="22"/>
          <w:szCs w:val="22"/>
        </w:rPr>
        <w:t xml:space="preserve">je izkazana </w:t>
      </w:r>
      <w:r w:rsidR="000A66C4" w:rsidRPr="00B2201F">
        <w:rPr>
          <w:sz w:val="22"/>
          <w:szCs w:val="22"/>
        </w:rPr>
        <w:t>pozitivna</w:t>
      </w:r>
      <w:r w:rsidR="008042D5" w:rsidRPr="00B2201F">
        <w:rPr>
          <w:sz w:val="22"/>
          <w:szCs w:val="22"/>
        </w:rPr>
        <w:t xml:space="preserve"> vrednost v višini </w:t>
      </w:r>
      <w:r w:rsidR="005442E2">
        <w:rPr>
          <w:sz w:val="22"/>
          <w:szCs w:val="22"/>
        </w:rPr>
        <w:t>252.703</w:t>
      </w:r>
      <w:r w:rsidR="008042D5" w:rsidRPr="00B2201F">
        <w:rPr>
          <w:sz w:val="22"/>
          <w:szCs w:val="22"/>
        </w:rPr>
        <w:t xml:space="preserve"> </w:t>
      </w:r>
      <w:r w:rsidR="005442E2">
        <w:rPr>
          <w:sz w:val="22"/>
          <w:szCs w:val="22"/>
        </w:rPr>
        <w:t>€</w:t>
      </w:r>
      <w:r w:rsidR="008042D5" w:rsidRPr="00B2201F">
        <w:rPr>
          <w:sz w:val="22"/>
          <w:szCs w:val="22"/>
        </w:rPr>
        <w:t xml:space="preserve">. </w:t>
      </w:r>
    </w:p>
    <w:p w:rsidR="008042D5" w:rsidRPr="00B2201F" w:rsidRDefault="008042D5" w:rsidP="001360A1">
      <w:pPr>
        <w:jc w:val="both"/>
        <w:rPr>
          <w:sz w:val="22"/>
          <w:szCs w:val="22"/>
        </w:rPr>
      </w:pPr>
      <w:r w:rsidRPr="00B2201F">
        <w:rPr>
          <w:sz w:val="22"/>
          <w:szCs w:val="22"/>
        </w:rPr>
        <w:t xml:space="preserve">Račun financiranja izkazuje prejemke proračuna v vrednosti </w:t>
      </w:r>
      <w:r w:rsidR="00A06903">
        <w:rPr>
          <w:sz w:val="22"/>
          <w:szCs w:val="22"/>
        </w:rPr>
        <w:t>1.0</w:t>
      </w:r>
      <w:r w:rsidR="005442E2">
        <w:rPr>
          <w:sz w:val="22"/>
          <w:szCs w:val="22"/>
        </w:rPr>
        <w:t>00.000</w:t>
      </w:r>
      <w:r w:rsidRPr="00B2201F">
        <w:rPr>
          <w:sz w:val="22"/>
          <w:szCs w:val="22"/>
        </w:rPr>
        <w:t xml:space="preserve"> evrov</w:t>
      </w:r>
      <w:r w:rsidR="000A66C4" w:rsidRPr="00B2201F">
        <w:rPr>
          <w:sz w:val="22"/>
          <w:szCs w:val="22"/>
        </w:rPr>
        <w:t xml:space="preserve"> iz naslova zadolževanja </w:t>
      </w:r>
      <w:r w:rsidR="005442E2">
        <w:rPr>
          <w:sz w:val="22"/>
          <w:szCs w:val="22"/>
        </w:rPr>
        <w:t xml:space="preserve">in stanje sredstev na računih iz preteklih let v vrednoti </w:t>
      </w:r>
      <w:r w:rsidR="00A06903">
        <w:rPr>
          <w:sz w:val="22"/>
          <w:szCs w:val="22"/>
        </w:rPr>
        <w:t>2.173.741</w:t>
      </w:r>
      <w:r w:rsidR="005442E2">
        <w:rPr>
          <w:sz w:val="22"/>
          <w:szCs w:val="22"/>
        </w:rPr>
        <w:t xml:space="preserve"> €</w:t>
      </w:r>
      <w:r w:rsidR="000A66C4" w:rsidRPr="00B2201F">
        <w:rPr>
          <w:sz w:val="22"/>
          <w:szCs w:val="22"/>
        </w:rPr>
        <w:t xml:space="preserve"> </w:t>
      </w:r>
      <w:r w:rsidRPr="00B2201F">
        <w:rPr>
          <w:sz w:val="22"/>
          <w:szCs w:val="22"/>
        </w:rPr>
        <w:t xml:space="preserve">. </w:t>
      </w:r>
    </w:p>
    <w:p w:rsidR="00EB1C5D" w:rsidRPr="00B2201F" w:rsidRDefault="00EB1C5D" w:rsidP="004465F4">
      <w:pPr>
        <w:jc w:val="both"/>
        <w:rPr>
          <w:sz w:val="22"/>
          <w:szCs w:val="22"/>
        </w:rPr>
      </w:pPr>
    </w:p>
    <w:p w:rsidR="00D70728" w:rsidRPr="00B2201F" w:rsidRDefault="00410C1C" w:rsidP="00D8570C">
      <w:pPr>
        <w:pStyle w:val="Naslov2"/>
        <w:rPr>
          <w:szCs w:val="22"/>
        </w:rPr>
      </w:pPr>
      <w:bookmarkStart w:id="14" w:name="_Toc183314762"/>
      <w:bookmarkStart w:id="15" w:name="_Toc484687248"/>
      <w:r w:rsidRPr="00B2201F">
        <w:rPr>
          <w:szCs w:val="22"/>
        </w:rPr>
        <w:t>RAČUN FINANČNIH TERJATEV IN NALOŽB</w:t>
      </w:r>
      <w:bookmarkEnd w:id="14"/>
      <w:bookmarkEnd w:id="15"/>
    </w:p>
    <w:p w:rsidR="00410C1C" w:rsidRPr="00B2201F" w:rsidRDefault="00410C1C">
      <w:pPr>
        <w:jc w:val="both"/>
        <w:rPr>
          <w:sz w:val="22"/>
          <w:szCs w:val="22"/>
          <w:u w:val="single"/>
        </w:rPr>
      </w:pPr>
    </w:p>
    <w:p w:rsidR="00353E8A" w:rsidRPr="00393471" w:rsidRDefault="00E87E43">
      <w:pPr>
        <w:jc w:val="both"/>
        <w:rPr>
          <w:sz w:val="22"/>
          <w:szCs w:val="22"/>
        </w:rPr>
      </w:pPr>
      <w:r w:rsidRPr="00393471">
        <w:rPr>
          <w:sz w:val="22"/>
          <w:szCs w:val="22"/>
        </w:rPr>
        <w:t>V računu finančn</w:t>
      </w:r>
      <w:r w:rsidR="00393471" w:rsidRPr="00393471">
        <w:rPr>
          <w:sz w:val="22"/>
          <w:szCs w:val="22"/>
        </w:rPr>
        <w:t xml:space="preserve">ih terjatev so prikazana </w:t>
      </w:r>
      <w:r w:rsidR="00987BC4" w:rsidRPr="00393471">
        <w:rPr>
          <w:sz w:val="22"/>
          <w:szCs w:val="22"/>
        </w:rPr>
        <w:t>prejeta sredstva</w:t>
      </w:r>
      <w:r w:rsidR="00496A6F" w:rsidRPr="00393471">
        <w:rPr>
          <w:sz w:val="22"/>
          <w:szCs w:val="22"/>
        </w:rPr>
        <w:t xml:space="preserve"> o</w:t>
      </w:r>
      <w:r w:rsidR="00393471" w:rsidRPr="00393471">
        <w:rPr>
          <w:sz w:val="22"/>
          <w:szCs w:val="22"/>
        </w:rPr>
        <w:t xml:space="preserve">d kapitalskega deleža SVZ Taber </w:t>
      </w:r>
      <w:r w:rsidR="00393471">
        <w:rPr>
          <w:sz w:val="22"/>
          <w:szCs w:val="22"/>
        </w:rPr>
        <w:t xml:space="preserve">in kupnina </w:t>
      </w:r>
      <w:r w:rsidR="00393471" w:rsidRPr="00393471">
        <w:rPr>
          <w:sz w:val="22"/>
          <w:szCs w:val="22"/>
        </w:rPr>
        <w:t>od prodaje delnic Gorenjske banke v vrednosti 40.000 €</w:t>
      </w:r>
    </w:p>
    <w:p w:rsidR="00987BC4" w:rsidRPr="00B2201F" w:rsidRDefault="00987BC4">
      <w:pPr>
        <w:jc w:val="both"/>
        <w:rPr>
          <w:sz w:val="22"/>
          <w:szCs w:val="22"/>
        </w:rPr>
      </w:pPr>
    </w:p>
    <w:tbl>
      <w:tblPr>
        <w:tblW w:w="10615" w:type="dxa"/>
        <w:tblInd w:w="55" w:type="dxa"/>
        <w:tblCellMar>
          <w:left w:w="70" w:type="dxa"/>
          <w:right w:w="70" w:type="dxa"/>
        </w:tblCellMar>
        <w:tblLook w:val="04A0" w:firstRow="1" w:lastRow="0" w:firstColumn="1" w:lastColumn="0" w:noHBand="0" w:noVBand="1"/>
      </w:tblPr>
      <w:tblGrid>
        <w:gridCol w:w="3984"/>
        <w:gridCol w:w="2127"/>
        <w:gridCol w:w="160"/>
        <w:gridCol w:w="1257"/>
        <w:gridCol w:w="500"/>
        <w:gridCol w:w="960"/>
        <w:gridCol w:w="99"/>
        <w:gridCol w:w="1528"/>
      </w:tblGrid>
      <w:tr w:rsidR="008042D5" w:rsidRPr="00B2201F" w:rsidTr="00FA0475">
        <w:trPr>
          <w:trHeight w:val="255"/>
        </w:trPr>
        <w:tc>
          <w:tcPr>
            <w:tcW w:w="6111" w:type="dxa"/>
            <w:gridSpan w:val="2"/>
            <w:tcBorders>
              <w:top w:val="nil"/>
              <w:left w:val="nil"/>
              <w:bottom w:val="nil"/>
              <w:right w:val="nil"/>
            </w:tcBorders>
            <w:shd w:val="clear" w:color="auto" w:fill="auto"/>
            <w:noWrap/>
            <w:vAlign w:val="bottom"/>
            <w:hideMark/>
          </w:tcPr>
          <w:p w:rsidR="008042D5" w:rsidRPr="00B2201F" w:rsidRDefault="008042D5" w:rsidP="008042D5">
            <w:pPr>
              <w:rPr>
                <w:sz w:val="22"/>
                <w:szCs w:val="22"/>
              </w:rPr>
            </w:pPr>
            <w:r w:rsidRPr="00B2201F">
              <w:rPr>
                <w:sz w:val="22"/>
                <w:szCs w:val="22"/>
              </w:rPr>
              <w:t>Račun finančnih terjatev in naložb</w:t>
            </w:r>
          </w:p>
        </w:tc>
        <w:tc>
          <w:tcPr>
            <w:tcW w:w="160" w:type="dxa"/>
            <w:tcBorders>
              <w:top w:val="nil"/>
              <w:left w:val="nil"/>
              <w:bottom w:val="nil"/>
              <w:right w:val="nil"/>
            </w:tcBorders>
            <w:shd w:val="clear" w:color="auto" w:fill="auto"/>
            <w:noWrap/>
            <w:vAlign w:val="bottom"/>
            <w:hideMark/>
          </w:tcPr>
          <w:p w:rsidR="008042D5" w:rsidRPr="00B2201F" w:rsidRDefault="008042D5" w:rsidP="008042D5">
            <w:pPr>
              <w:rPr>
                <w:sz w:val="22"/>
                <w:szCs w:val="22"/>
              </w:rPr>
            </w:pPr>
          </w:p>
        </w:tc>
        <w:tc>
          <w:tcPr>
            <w:tcW w:w="1757" w:type="dxa"/>
            <w:gridSpan w:val="2"/>
            <w:tcBorders>
              <w:top w:val="nil"/>
              <w:left w:val="nil"/>
              <w:bottom w:val="nil"/>
              <w:right w:val="nil"/>
            </w:tcBorders>
            <w:shd w:val="clear" w:color="auto" w:fill="auto"/>
            <w:noWrap/>
            <w:vAlign w:val="bottom"/>
            <w:hideMark/>
          </w:tcPr>
          <w:p w:rsidR="008042D5" w:rsidRPr="00B2201F" w:rsidRDefault="008042D5" w:rsidP="008042D5">
            <w:pPr>
              <w:rPr>
                <w:sz w:val="22"/>
                <w:szCs w:val="22"/>
              </w:rPr>
            </w:pPr>
          </w:p>
        </w:tc>
        <w:tc>
          <w:tcPr>
            <w:tcW w:w="960" w:type="dxa"/>
            <w:tcBorders>
              <w:top w:val="nil"/>
              <w:left w:val="nil"/>
              <w:bottom w:val="nil"/>
              <w:right w:val="nil"/>
            </w:tcBorders>
            <w:shd w:val="clear" w:color="auto" w:fill="auto"/>
            <w:noWrap/>
            <w:vAlign w:val="bottom"/>
            <w:hideMark/>
          </w:tcPr>
          <w:p w:rsidR="008042D5" w:rsidRPr="00B2201F" w:rsidRDefault="008042D5" w:rsidP="008042D5">
            <w:pPr>
              <w:rPr>
                <w:sz w:val="22"/>
                <w:szCs w:val="22"/>
              </w:rPr>
            </w:pPr>
          </w:p>
        </w:tc>
        <w:tc>
          <w:tcPr>
            <w:tcW w:w="1627" w:type="dxa"/>
            <w:gridSpan w:val="2"/>
            <w:tcBorders>
              <w:top w:val="nil"/>
              <w:left w:val="nil"/>
              <w:bottom w:val="nil"/>
              <w:right w:val="nil"/>
            </w:tcBorders>
            <w:shd w:val="clear" w:color="auto" w:fill="auto"/>
            <w:noWrap/>
            <w:vAlign w:val="bottom"/>
            <w:hideMark/>
          </w:tcPr>
          <w:p w:rsidR="008042D5" w:rsidRPr="00B2201F" w:rsidRDefault="008042D5" w:rsidP="008042D5">
            <w:pPr>
              <w:rPr>
                <w:sz w:val="22"/>
                <w:szCs w:val="22"/>
              </w:rPr>
            </w:pPr>
          </w:p>
        </w:tc>
      </w:tr>
      <w:tr w:rsidR="00112E16" w:rsidRPr="00B2201F" w:rsidTr="00FA0475">
        <w:trPr>
          <w:gridAfter w:val="1"/>
          <w:wAfter w:w="1528" w:type="dxa"/>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E16" w:rsidRPr="00B2201F" w:rsidRDefault="00112E16" w:rsidP="008042D5">
            <w:pPr>
              <w:rPr>
                <w:sz w:val="22"/>
                <w:szCs w:val="22"/>
              </w:rPr>
            </w:pPr>
            <w:r w:rsidRPr="00B2201F">
              <w:rPr>
                <w:sz w:val="22"/>
                <w:szCs w:val="22"/>
              </w:rPr>
              <w:t>VRSTA PREJEMKA</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112E16" w:rsidRPr="00B2201F" w:rsidRDefault="00112E16" w:rsidP="008042D5">
            <w:pPr>
              <w:jc w:val="center"/>
              <w:rPr>
                <w:sz w:val="22"/>
                <w:szCs w:val="22"/>
              </w:rPr>
            </w:pPr>
            <w:r w:rsidRPr="00B2201F">
              <w:rPr>
                <w:sz w:val="22"/>
                <w:szCs w:val="22"/>
              </w:rPr>
              <w:t>Sprejeti proračun</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12E16" w:rsidRPr="00B2201F" w:rsidRDefault="00112E16" w:rsidP="008042D5">
            <w:pPr>
              <w:jc w:val="center"/>
              <w:rPr>
                <w:sz w:val="22"/>
                <w:szCs w:val="22"/>
              </w:rPr>
            </w:pPr>
            <w:r w:rsidRPr="00B2201F">
              <w:rPr>
                <w:sz w:val="22"/>
                <w:szCs w:val="22"/>
              </w:rPr>
              <w:t>Rebalans</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112E16" w:rsidRPr="00B2201F" w:rsidRDefault="00112E16" w:rsidP="008042D5">
            <w:pPr>
              <w:jc w:val="center"/>
              <w:rPr>
                <w:sz w:val="22"/>
                <w:szCs w:val="22"/>
              </w:rPr>
            </w:pPr>
            <w:r w:rsidRPr="00B2201F">
              <w:rPr>
                <w:sz w:val="22"/>
                <w:szCs w:val="22"/>
              </w:rPr>
              <w:t>Indeks</w:t>
            </w:r>
          </w:p>
        </w:tc>
      </w:tr>
      <w:tr w:rsidR="00112E16" w:rsidRPr="00B2201F" w:rsidTr="00FA0475">
        <w:trPr>
          <w:gridAfter w:val="1"/>
          <w:wAfter w:w="1528" w:type="dxa"/>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12E16" w:rsidRPr="00B2201F" w:rsidRDefault="00123D85" w:rsidP="008042D5">
            <w:pPr>
              <w:rPr>
                <w:sz w:val="22"/>
                <w:szCs w:val="22"/>
              </w:rPr>
            </w:pPr>
            <w:r w:rsidRPr="00B2201F">
              <w:rPr>
                <w:sz w:val="22"/>
                <w:szCs w:val="22"/>
              </w:rPr>
              <w:t>Prodaja kapitalskih deležev</w:t>
            </w:r>
          </w:p>
        </w:tc>
        <w:tc>
          <w:tcPr>
            <w:tcW w:w="2127" w:type="dxa"/>
            <w:tcBorders>
              <w:top w:val="nil"/>
              <w:left w:val="nil"/>
              <w:bottom w:val="single" w:sz="4" w:space="0" w:color="auto"/>
              <w:right w:val="single" w:sz="4" w:space="0" w:color="auto"/>
            </w:tcBorders>
            <w:shd w:val="clear" w:color="auto" w:fill="auto"/>
            <w:noWrap/>
            <w:vAlign w:val="bottom"/>
            <w:hideMark/>
          </w:tcPr>
          <w:p w:rsidR="00112E16" w:rsidRPr="00B2201F" w:rsidRDefault="00393471" w:rsidP="008042D5">
            <w:pPr>
              <w:jc w:val="right"/>
              <w:rPr>
                <w:sz w:val="22"/>
                <w:szCs w:val="22"/>
              </w:rPr>
            </w:pPr>
            <w:r>
              <w:rPr>
                <w:sz w:val="22"/>
                <w:szCs w:val="22"/>
              </w:rPr>
              <w:t>257.703 €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12E16" w:rsidRPr="00B2201F" w:rsidRDefault="00393471" w:rsidP="008042D5">
            <w:pPr>
              <w:jc w:val="right"/>
              <w:rPr>
                <w:sz w:val="22"/>
                <w:szCs w:val="22"/>
              </w:rPr>
            </w:pPr>
            <w:r>
              <w:rPr>
                <w:sz w:val="22"/>
                <w:szCs w:val="22"/>
              </w:rPr>
              <w:t>257.703 €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112E16" w:rsidRPr="00B2201F" w:rsidRDefault="00112E16" w:rsidP="008042D5">
            <w:pPr>
              <w:jc w:val="right"/>
              <w:rPr>
                <w:sz w:val="22"/>
                <w:szCs w:val="22"/>
              </w:rPr>
            </w:pPr>
            <w:r w:rsidRPr="00B2201F">
              <w:rPr>
                <w:sz w:val="22"/>
                <w:szCs w:val="22"/>
              </w:rPr>
              <w:t>100,00</w:t>
            </w:r>
          </w:p>
        </w:tc>
      </w:tr>
    </w:tbl>
    <w:p w:rsidR="00A33402" w:rsidRPr="00B2201F" w:rsidRDefault="00A33402">
      <w:pPr>
        <w:jc w:val="both"/>
        <w:rPr>
          <w:sz w:val="22"/>
          <w:szCs w:val="22"/>
        </w:rPr>
      </w:pPr>
    </w:p>
    <w:tbl>
      <w:tblPr>
        <w:tblW w:w="9087" w:type="dxa"/>
        <w:tblInd w:w="55" w:type="dxa"/>
        <w:tblCellMar>
          <w:left w:w="70" w:type="dxa"/>
          <w:right w:w="70" w:type="dxa"/>
        </w:tblCellMar>
        <w:tblLook w:val="04A0" w:firstRow="1" w:lastRow="0" w:firstColumn="1" w:lastColumn="0" w:noHBand="0" w:noVBand="1"/>
      </w:tblPr>
      <w:tblGrid>
        <w:gridCol w:w="3984"/>
        <w:gridCol w:w="2127"/>
        <w:gridCol w:w="1417"/>
        <w:gridCol w:w="1559"/>
      </w:tblGrid>
      <w:tr w:rsidR="00112E16" w:rsidRPr="00B2201F" w:rsidTr="00FA0475">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E16" w:rsidRPr="00B2201F" w:rsidRDefault="00112E16" w:rsidP="008042D5">
            <w:pPr>
              <w:rPr>
                <w:sz w:val="22"/>
                <w:szCs w:val="22"/>
              </w:rPr>
            </w:pPr>
            <w:r w:rsidRPr="00B2201F">
              <w:rPr>
                <w:sz w:val="22"/>
                <w:szCs w:val="22"/>
              </w:rPr>
              <w:t>VRSTA IZDATKA</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112E16" w:rsidRPr="00B2201F" w:rsidRDefault="00112E16" w:rsidP="008042D5">
            <w:pPr>
              <w:jc w:val="center"/>
              <w:rPr>
                <w:sz w:val="22"/>
                <w:szCs w:val="22"/>
              </w:rPr>
            </w:pPr>
            <w:r w:rsidRPr="00B2201F">
              <w:rPr>
                <w:sz w:val="22"/>
                <w:szCs w:val="22"/>
              </w:rPr>
              <w:t>Sprejeti proračun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2E16" w:rsidRPr="00B2201F" w:rsidRDefault="00112E16" w:rsidP="008042D5">
            <w:pPr>
              <w:jc w:val="center"/>
              <w:rPr>
                <w:sz w:val="22"/>
                <w:szCs w:val="22"/>
              </w:rPr>
            </w:pPr>
            <w:r w:rsidRPr="00B2201F">
              <w:rPr>
                <w:sz w:val="22"/>
                <w:szCs w:val="22"/>
              </w:rPr>
              <w:t xml:space="preserve">Rebalans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12E16" w:rsidRPr="00B2201F" w:rsidRDefault="00112E16" w:rsidP="008042D5">
            <w:pPr>
              <w:jc w:val="center"/>
              <w:rPr>
                <w:sz w:val="22"/>
                <w:szCs w:val="22"/>
              </w:rPr>
            </w:pPr>
            <w:r w:rsidRPr="00B2201F">
              <w:rPr>
                <w:sz w:val="22"/>
                <w:szCs w:val="22"/>
              </w:rPr>
              <w:t>Indeks</w:t>
            </w:r>
          </w:p>
        </w:tc>
      </w:tr>
      <w:tr w:rsidR="00112E16" w:rsidRPr="00B2201F" w:rsidTr="00FA0475">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12E16" w:rsidRPr="00B2201F" w:rsidRDefault="00112E16" w:rsidP="008042D5">
            <w:pPr>
              <w:rPr>
                <w:sz w:val="22"/>
                <w:szCs w:val="22"/>
              </w:rPr>
            </w:pPr>
            <w:r w:rsidRPr="00B2201F">
              <w:rPr>
                <w:sz w:val="22"/>
                <w:szCs w:val="22"/>
              </w:rPr>
              <w:t>Povečanje kapitalskih deležev in finančnih naložb</w:t>
            </w:r>
          </w:p>
        </w:tc>
        <w:tc>
          <w:tcPr>
            <w:tcW w:w="2127" w:type="dxa"/>
            <w:tcBorders>
              <w:top w:val="nil"/>
              <w:left w:val="nil"/>
              <w:bottom w:val="single" w:sz="4" w:space="0" w:color="auto"/>
              <w:right w:val="single" w:sz="4" w:space="0" w:color="auto"/>
            </w:tcBorders>
            <w:shd w:val="clear" w:color="auto" w:fill="auto"/>
            <w:noWrap/>
            <w:vAlign w:val="bottom"/>
            <w:hideMark/>
          </w:tcPr>
          <w:p w:rsidR="00112E16" w:rsidRPr="00B2201F" w:rsidRDefault="00393471" w:rsidP="008042D5">
            <w:pPr>
              <w:jc w:val="right"/>
              <w:rPr>
                <w:sz w:val="22"/>
                <w:szCs w:val="22"/>
              </w:rPr>
            </w:pPr>
            <w:r>
              <w:rPr>
                <w:sz w:val="22"/>
                <w:szCs w:val="22"/>
              </w:rPr>
              <w:t>1.000.000 €</w:t>
            </w:r>
          </w:p>
        </w:tc>
        <w:tc>
          <w:tcPr>
            <w:tcW w:w="1417" w:type="dxa"/>
            <w:tcBorders>
              <w:top w:val="nil"/>
              <w:left w:val="nil"/>
              <w:bottom w:val="single" w:sz="4" w:space="0" w:color="auto"/>
              <w:right w:val="single" w:sz="4" w:space="0" w:color="auto"/>
            </w:tcBorders>
            <w:shd w:val="clear" w:color="auto" w:fill="auto"/>
            <w:noWrap/>
            <w:vAlign w:val="bottom"/>
            <w:hideMark/>
          </w:tcPr>
          <w:p w:rsidR="00112E16" w:rsidRPr="00B2201F" w:rsidRDefault="00393471" w:rsidP="008042D5">
            <w:pPr>
              <w:jc w:val="right"/>
              <w:rPr>
                <w:sz w:val="22"/>
                <w:szCs w:val="22"/>
              </w:rPr>
            </w:pPr>
            <w:r>
              <w:rPr>
                <w:sz w:val="22"/>
                <w:szCs w:val="22"/>
              </w:rPr>
              <w:t>5.000 €</w:t>
            </w:r>
          </w:p>
        </w:tc>
        <w:tc>
          <w:tcPr>
            <w:tcW w:w="1559" w:type="dxa"/>
            <w:tcBorders>
              <w:top w:val="nil"/>
              <w:left w:val="nil"/>
              <w:bottom w:val="single" w:sz="4" w:space="0" w:color="auto"/>
              <w:right w:val="single" w:sz="4" w:space="0" w:color="auto"/>
            </w:tcBorders>
            <w:shd w:val="clear" w:color="auto" w:fill="auto"/>
            <w:noWrap/>
            <w:vAlign w:val="bottom"/>
            <w:hideMark/>
          </w:tcPr>
          <w:p w:rsidR="00112E16" w:rsidRPr="00B2201F" w:rsidRDefault="00393471" w:rsidP="008042D5">
            <w:pPr>
              <w:jc w:val="right"/>
              <w:rPr>
                <w:sz w:val="22"/>
                <w:szCs w:val="22"/>
              </w:rPr>
            </w:pPr>
            <w:r>
              <w:rPr>
                <w:sz w:val="22"/>
                <w:szCs w:val="22"/>
              </w:rPr>
              <w:t>0,5</w:t>
            </w:r>
          </w:p>
        </w:tc>
      </w:tr>
    </w:tbl>
    <w:p w:rsidR="008042D5" w:rsidRPr="00B2201F" w:rsidRDefault="008042D5">
      <w:pPr>
        <w:jc w:val="both"/>
        <w:rPr>
          <w:sz w:val="22"/>
          <w:szCs w:val="22"/>
        </w:rPr>
      </w:pPr>
    </w:p>
    <w:p w:rsidR="008042D5" w:rsidRPr="00B2201F" w:rsidRDefault="008042D5">
      <w:pPr>
        <w:jc w:val="both"/>
        <w:rPr>
          <w:sz w:val="22"/>
          <w:szCs w:val="22"/>
        </w:rPr>
      </w:pPr>
    </w:p>
    <w:p w:rsidR="00D70728" w:rsidRPr="00B2201F" w:rsidRDefault="00410C1C" w:rsidP="00D8570C">
      <w:pPr>
        <w:pStyle w:val="Naslov2"/>
        <w:rPr>
          <w:szCs w:val="22"/>
        </w:rPr>
      </w:pPr>
      <w:bookmarkStart w:id="16" w:name="_Toc183314763"/>
      <w:bookmarkStart w:id="17" w:name="_Toc484687249"/>
      <w:r w:rsidRPr="00B2201F">
        <w:rPr>
          <w:szCs w:val="22"/>
        </w:rPr>
        <w:t>RAČUN FINANCIRANJA</w:t>
      </w:r>
      <w:bookmarkEnd w:id="16"/>
      <w:bookmarkEnd w:id="17"/>
    </w:p>
    <w:p w:rsidR="00410C1C" w:rsidRPr="00B2201F" w:rsidRDefault="00410C1C">
      <w:pPr>
        <w:jc w:val="both"/>
        <w:rPr>
          <w:sz w:val="22"/>
          <w:szCs w:val="22"/>
        </w:rPr>
      </w:pPr>
    </w:p>
    <w:p w:rsidR="005E7CF9" w:rsidRDefault="00EB1C5D">
      <w:pPr>
        <w:jc w:val="both"/>
        <w:rPr>
          <w:sz w:val="22"/>
          <w:szCs w:val="22"/>
        </w:rPr>
      </w:pPr>
      <w:r w:rsidRPr="00B2201F">
        <w:rPr>
          <w:sz w:val="22"/>
          <w:szCs w:val="22"/>
        </w:rPr>
        <w:t>Račun financiranja i</w:t>
      </w:r>
      <w:r w:rsidR="00D70728" w:rsidRPr="00B2201F">
        <w:rPr>
          <w:sz w:val="22"/>
          <w:szCs w:val="22"/>
        </w:rPr>
        <w:t>zkazuje zadolževanje občine</w:t>
      </w:r>
      <w:r w:rsidR="008042D5" w:rsidRPr="00B2201F">
        <w:rPr>
          <w:sz w:val="22"/>
          <w:szCs w:val="22"/>
        </w:rPr>
        <w:t xml:space="preserve"> v vrednosti </w:t>
      </w:r>
      <w:r w:rsidR="005E7CF9">
        <w:rPr>
          <w:sz w:val="22"/>
          <w:szCs w:val="22"/>
        </w:rPr>
        <w:t>1.400.000</w:t>
      </w:r>
      <w:r w:rsidR="008042D5" w:rsidRPr="00B2201F">
        <w:rPr>
          <w:sz w:val="22"/>
          <w:szCs w:val="22"/>
        </w:rPr>
        <w:t xml:space="preserve"> </w:t>
      </w:r>
      <w:r w:rsidR="005E7CF9">
        <w:rPr>
          <w:sz w:val="22"/>
          <w:szCs w:val="22"/>
        </w:rPr>
        <w:t>€.</w:t>
      </w:r>
    </w:p>
    <w:p w:rsidR="008042D5" w:rsidRPr="00B2201F" w:rsidRDefault="005E7CF9">
      <w:pPr>
        <w:jc w:val="both"/>
        <w:rPr>
          <w:sz w:val="22"/>
          <w:szCs w:val="22"/>
        </w:rPr>
      </w:pPr>
      <w:r w:rsidRPr="00B2201F">
        <w:rPr>
          <w:sz w:val="22"/>
          <w:szCs w:val="22"/>
        </w:rPr>
        <w:t xml:space="preserve"> </w:t>
      </w:r>
    </w:p>
    <w:tbl>
      <w:tblPr>
        <w:tblW w:w="9067" w:type="dxa"/>
        <w:tblInd w:w="75" w:type="dxa"/>
        <w:tblCellMar>
          <w:left w:w="70" w:type="dxa"/>
          <w:right w:w="70" w:type="dxa"/>
        </w:tblCellMar>
        <w:tblLook w:val="04A0" w:firstRow="1" w:lastRow="0" w:firstColumn="1" w:lastColumn="0" w:noHBand="0" w:noVBand="1"/>
      </w:tblPr>
      <w:tblGrid>
        <w:gridCol w:w="2880"/>
        <w:gridCol w:w="1480"/>
        <w:gridCol w:w="960"/>
        <w:gridCol w:w="1500"/>
        <w:gridCol w:w="960"/>
        <w:gridCol w:w="1287"/>
      </w:tblGrid>
      <w:tr w:rsidR="00123D85" w:rsidRPr="00B2201F" w:rsidTr="008973D8">
        <w:trPr>
          <w:trHeight w:val="300"/>
        </w:trPr>
        <w:tc>
          <w:tcPr>
            <w:tcW w:w="288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 xml:space="preserve">Račun financiranja </w:t>
            </w:r>
          </w:p>
        </w:tc>
        <w:tc>
          <w:tcPr>
            <w:tcW w:w="1480" w:type="dxa"/>
            <w:tcBorders>
              <w:top w:val="single" w:sz="4" w:space="0" w:color="3F3F3F"/>
              <w:left w:val="nil"/>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 </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 </w:t>
            </w:r>
          </w:p>
        </w:tc>
        <w:tc>
          <w:tcPr>
            <w:tcW w:w="1500" w:type="dxa"/>
            <w:tcBorders>
              <w:top w:val="single" w:sz="4" w:space="0" w:color="3F3F3F"/>
              <w:left w:val="nil"/>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 </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 </w:t>
            </w:r>
          </w:p>
        </w:tc>
        <w:tc>
          <w:tcPr>
            <w:tcW w:w="1287" w:type="dxa"/>
            <w:tcBorders>
              <w:top w:val="single" w:sz="4" w:space="0" w:color="3F3F3F"/>
              <w:left w:val="nil"/>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 </w:t>
            </w:r>
          </w:p>
        </w:tc>
      </w:tr>
      <w:tr w:rsidR="00123D85" w:rsidRPr="00B2201F" w:rsidTr="008973D8">
        <w:trPr>
          <w:trHeight w:val="6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VRSTA PRIHODKA</w:t>
            </w:r>
          </w:p>
        </w:tc>
        <w:tc>
          <w:tcPr>
            <w:tcW w:w="1480" w:type="dxa"/>
            <w:tcBorders>
              <w:top w:val="nil"/>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Sprejeti proračun</w:t>
            </w:r>
          </w:p>
        </w:tc>
        <w:tc>
          <w:tcPr>
            <w:tcW w:w="960" w:type="dxa"/>
            <w:tcBorders>
              <w:top w:val="nil"/>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Delež</w:t>
            </w:r>
          </w:p>
        </w:tc>
        <w:tc>
          <w:tcPr>
            <w:tcW w:w="1500" w:type="dxa"/>
            <w:tcBorders>
              <w:top w:val="nil"/>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Rebalans</w:t>
            </w:r>
          </w:p>
        </w:tc>
        <w:tc>
          <w:tcPr>
            <w:tcW w:w="960" w:type="dxa"/>
            <w:tcBorders>
              <w:top w:val="nil"/>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Delež</w:t>
            </w:r>
          </w:p>
        </w:tc>
        <w:tc>
          <w:tcPr>
            <w:tcW w:w="1287" w:type="dxa"/>
            <w:tcBorders>
              <w:top w:val="nil"/>
              <w:left w:val="nil"/>
              <w:bottom w:val="single" w:sz="4" w:space="0" w:color="3F3F3F"/>
              <w:right w:val="single" w:sz="4" w:space="0" w:color="3F3F3F"/>
            </w:tcBorders>
            <w:shd w:val="clear" w:color="000000" w:fill="F2F2F2"/>
            <w:vAlign w:val="bottom"/>
            <w:hideMark/>
          </w:tcPr>
          <w:p w:rsidR="00123D85" w:rsidRPr="00B2201F" w:rsidRDefault="00123D85" w:rsidP="00123D85">
            <w:pPr>
              <w:jc w:val="center"/>
              <w:rPr>
                <w:b/>
                <w:bCs/>
                <w:color w:val="3F3F3F"/>
                <w:sz w:val="22"/>
                <w:szCs w:val="22"/>
              </w:rPr>
            </w:pPr>
            <w:r w:rsidRPr="00B2201F">
              <w:rPr>
                <w:b/>
                <w:bCs/>
                <w:color w:val="3F3F3F"/>
                <w:sz w:val="22"/>
                <w:szCs w:val="22"/>
              </w:rPr>
              <w:t>Indeks</w:t>
            </w:r>
          </w:p>
        </w:tc>
      </w:tr>
      <w:tr w:rsidR="00123D85" w:rsidRPr="00B2201F" w:rsidTr="008973D8">
        <w:trPr>
          <w:trHeight w:val="300"/>
        </w:trPr>
        <w:tc>
          <w:tcPr>
            <w:tcW w:w="2880" w:type="dxa"/>
            <w:tcBorders>
              <w:top w:val="nil"/>
              <w:left w:val="single" w:sz="4" w:space="0" w:color="3F3F3F"/>
              <w:bottom w:val="single" w:sz="4" w:space="0" w:color="3F3F3F"/>
              <w:right w:val="single" w:sz="4" w:space="0" w:color="3F3F3F"/>
            </w:tcBorders>
            <w:shd w:val="clear" w:color="000000" w:fill="F2F2F2"/>
            <w:noWrap/>
            <w:vAlign w:val="bottom"/>
            <w:hideMark/>
          </w:tcPr>
          <w:p w:rsidR="00123D85" w:rsidRPr="00B2201F" w:rsidRDefault="00123D85" w:rsidP="00123D85">
            <w:pPr>
              <w:rPr>
                <w:b/>
                <w:bCs/>
                <w:color w:val="3F3F3F"/>
                <w:sz w:val="22"/>
                <w:szCs w:val="22"/>
              </w:rPr>
            </w:pPr>
            <w:r w:rsidRPr="00B2201F">
              <w:rPr>
                <w:b/>
                <w:bCs/>
                <w:color w:val="3F3F3F"/>
                <w:sz w:val="22"/>
                <w:szCs w:val="22"/>
              </w:rPr>
              <w:t>Domače zadolževanje</w:t>
            </w:r>
          </w:p>
        </w:tc>
        <w:tc>
          <w:tcPr>
            <w:tcW w:w="148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5E7CF9" w:rsidP="00123D85">
            <w:pPr>
              <w:jc w:val="right"/>
              <w:rPr>
                <w:b/>
                <w:bCs/>
                <w:color w:val="3F3F3F"/>
                <w:sz w:val="22"/>
                <w:szCs w:val="22"/>
              </w:rPr>
            </w:pPr>
            <w:r>
              <w:rPr>
                <w:b/>
                <w:bCs/>
                <w:color w:val="3F3F3F"/>
                <w:sz w:val="22"/>
                <w:szCs w:val="22"/>
              </w:rPr>
              <w:t>1.400.000 €</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123D85" w:rsidP="00123D85">
            <w:pPr>
              <w:jc w:val="right"/>
              <w:rPr>
                <w:b/>
                <w:bCs/>
                <w:color w:val="3F3F3F"/>
                <w:sz w:val="22"/>
                <w:szCs w:val="22"/>
              </w:rPr>
            </w:pPr>
            <w:r w:rsidRPr="00B2201F">
              <w:rPr>
                <w:b/>
                <w:bCs/>
                <w:color w:val="3F3F3F"/>
                <w:sz w:val="22"/>
                <w:szCs w:val="22"/>
              </w:rPr>
              <w:t>100,00</w:t>
            </w:r>
          </w:p>
        </w:tc>
        <w:tc>
          <w:tcPr>
            <w:tcW w:w="150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DE30A9" w:rsidP="00123D85">
            <w:pPr>
              <w:jc w:val="right"/>
              <w:rPr>
                <w:b/>
                <w:bCs/>
                <w:color w:val="3F3F3F"/>
                <w:sz w:val="22"/>
                <w:szCs w:val="22"/>
              </w:rPr>
            </w:pPr>
            <w:r>
              <w:rPr>
                <w:b/>
                <w:bCs/>
                <w:color w:val="3F3F3F"/>
                <w:sz w:val="22"/>
                <w:szCs w:val="22"/>
              </w:rPr>
              <w:t>1.0</w:t>
            </w:r>
            <w:r w:rsidR="005E7CF9">
              <w:rPr>
                <w:b/>
                <w:bCs/>
                <w:color w:val="3F3F3F"/>
                <w:sz w:val="22"/>
                <w:szCs w:val="22"/>
              </w:rPr>
              <w:t>00.000 €</w:t>
            </w:r>
          </w:p>
        </w:tc>
        <w:tc>
          <w:tcPr>
            <w:tcW w:w="960"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123D85" w:rsidP="00123D85">
            <w:pPr>
              <w:jc w:val="right"/>
              <w:rPr>
                <w:b/>
                <w:bCs/>
                <w:color w:val="3F3F3F"/>
                <w:sz w:val="22"/>
                <w:szCs w:val="22"/>
              </w:rPr>
            </w:pPr>
            <w:r w:rsidRPr="00B2201F">
              <w:rPr>
                <w:b/>
                <w:bCs/>
                <w:color w:val="3F3F3F"/>
                <w:sz w:val="22"/>
                <w:szCs w:val="22"/>
              </w:rPr>
              <w:t>100,00</w:t>
            </w:r>
          </w:p>
        </w:tc>
        <w:tc>
          <w:tcPr>
            <w:tcW w:w="1287" w:type="dxa"/>
            <w:tcBorders>
              <w:top w:val="nil"/>
              <w:left w:val="nil"/>
              <w:bottom w:val="single" w:sz="4" w:space="0" w:color="3F3F3F"/>
              <w:right w:val="single" w:sz="4" w:space="0" w:color="3F3F3F"/>
            </w:tcBorders>
            <w:shd w:val="clear" w:color="000000" w:fill="F2F2F2"/>
            <w:noWrap/>
            <w:vAlign w:val="bottom"/>
            <w:hideMark/>
          </w:tcPr>
          <w:p w:rsidR="00123D85" w:rsidRPr="00B2201F" w:rsidRDefault="00626DDC" w:rsidP="00123D85">
            <w:pPr>
              <w:jc w:val="right"/>
              <w:rPr>
                <w:b/>
                <w:bCs/>
                <w:color w:val="3F3F3F"/>
                <w:sz w:val="22"/>
                <w:szCs w:val="22"/>
              </w:rPr>
            </w:pPr>
            <w:r>
              <w:rPr>
                <w:b/>
                <w:bCs/>
                <w:color w:val="3F3F3F"/>
                <w:sz w:val="22"/>
                <w:szCs w:val="22"/>
              </w:rPr>
              <w:t>71,4</w:t>
            </w:r>
          </w:p>
        </w:tc>
      </w:tr>
      <w:tr w:rsidR="00123D85" w:rsidRPr="00B2201F" w:rsidTr="008973D8">
        <w:trPr>
          <w:trHeight w:val="255"/>
        </w:trPr>
        <w:tc>
          <w:tcPr>
            <w:tcW w:w="2880" w:type="dxa"/>
            <w:tcBorders>
              <w:top w:val="nil"/>
              <w:left w:val="nil"/>
              <w:bottom w:val="nil"/>
              <w:right w:val="nil"/>
            </w:tcBorders>
            <w:shd w:val="clear" w:color="auto" w:fill="auto"/>
            <w:noWrap/>
            <w:vAlign w:val="bottom"/>
            <w:hideMark/>
          </w:tcPr>
          <w:p w:rsidR="00123D85" w:rsidRPr="00B2201F" w:rsidRDefault="00123D85" w:rsidP="00123D85">
            <w:pPr>
              <w:jc w:val="right"/>
              <w:rPr>
                <w:b/>
                <w:bCs/>
                <w:color w:val="3F3F3F"/>
                <w:sz w:val="22"/>
                <w:szCs w:val="22"/>
              </w:rPr>
            </w:pPr>
          </w:p>
        </w:tc>
        <w:tc>
          <w:tcPr>
            <w:tcW w:w="1480" w:type="dxa"/>
            <w:tcBorders>
              <w:top w:val="nil"/>
              <w:left w:val="nil"/>
              <w:bottom w:val="nil"/>
              <w:right w:val="nil"/>
            </w:tcBorders>
            <w:shd w:val="clear" w:color="auto" w:fill="auto"/>
            <w:noWrap/>
            <w:vAlign w:val="bottom"/>
            <w:hideMark/>
          </w:tcPr>
          <w:p w:rsidR="00123D85" w:rsidRPr="00B2201F" w:rsidRDefault="00123D85" w:rsidP="00123D85">
            <w:pPr>
              <w:rPr>
                <w:sz w:val="22"/>
                <w:szCs w:val="22"/>
              </w:rPr>
            </w:pPr>
          </w:p>
        </w:tc>
        <w:tc>
          <w:tcPr>
            <w:tcW w:w="960" w:type="dxa"/>
            <w:tcBorders>
              <w:top w:val="nil"/>
              <w:left w:val="nil"/>
              <w:bottom w:val="nil"/>
              <w:right w:val="nil"/>
            </w:tcBorders>
            <w:shd w:val="clear" w:color="auto" w:fill="auto"/>
            <w:noWrap/>
            <w:vAlign w:val="bottom"/>
            <w:hideMark/>
          </w:tcPr>
          <w:p w:rsidR="00123D85" w:rsidRPr="00B2201F" w:rsidRDefault="00123D85" w:rsidP="00123D85">
            <w:pPr>
              <w:rPr>
                <w:sz w:val="22"/>
                <w:szCs w:val="22"/>
              </w:rPr>
            </w:pPr>
          </w:p>
        </w:tc>
        <w:tc>
          <w:tcPr>
            <w:tcW w:w="1500" w:type="dxa"/>
            <w:tcBorders>
              <w:top w:val="nil"/>
              <w:left w:val="nil"/>
              <w:bottom w:val="nil"/>
              <w:right w:val="nil"/>
            </w:tcBorders>
            <w:shd w:val="clear" w:color="auto" w:fill="auto"/>
            <w:noWrap/>
            <w:vAlign w:val="bottom"/>
            <w:hideMark/>
          </w:tcPr>
          <w:p w:rsidR="00123D85" w:rsidRPr="00B2201F" w:rsidRDefault="00123D85" w:rsidP="00123D85">
            <w:pPr>
              <w:rPr>
                <w:sz w:val="22"/>
                <w:szCs w:val="22"/>
              </w:rPr>
            </w:pPr>
          </w:p>
        </w:tc>
        <w:tc>
          <w:tcPr>
            <w:tcW w:w="960" w:type="dxa"/>
            <w:tcBorders>
              <w:top w:val="nil"/>
              <w:left w:val="nil"/>
              <w:bottom w:val="nil"/>
              <w:right w:val="nil"/>
            </w:tcBorders>
            <w:shd w:val="clear" w:color="auto" w:fill="auto"/>
            <w:noWrap/>
            <w:vAlign w:val="bottom"/>
            <w:hideMark/>
          </w:tcPr>
          <w:p w:rsidR="00123D85" w:rsidRPr="00B2201F" w:rsidRDefault="00123D85" w:rsidP="00123D85">
            <w:pPr>
              <w:rPr>
                <w:sz w:val="22"/>
                <w:szCs w:val="22"/>
              </w:rPr>
            </w:pPr>
          </w:p>
        </w:tc>
        <w:tc>
          <w:tcPr>
            <w:tcW w:w="1287" w:type="dxa"/>
            <w:tcBorders>
              <w:top w:val="nil"/>
              <w:left w:val="nil"/>
              <w:bottom w:val="nil"/>
              <w:right w:val="nil"/>
            </w:tcBorders>
            <w:shd w:val="clear" w:color="auto" w:fill="auto"/>
            <w:noWrap/>
            <w:vAlign w:val="bottom"/>
            <w:hideMark/>
          </w:tcPr>
          <w:p w:rsidR="00123D85" w:rsidRPr="00B2201F" w:rsidRDefault="00123D85" w:rsidP="00123D85">
            <w:pPr>
              <w:rPr>
                <w:sz w:val="22"/>
                <w:szCs w:val="22"/>
              </w:rPr>
            </w:pPr>
          </w:p>
        </w:tc>
      </w:tr>
    </w:tbl>
    <w:p w:rsidR="00D70728" w:rsidRPr="00B2201F" w:rsidRDefault="008750CE" w:rsidP="000E4E5B">
      <w:pPr>
        <w:pStyle w:val="Naslov1"/>
        <w:rPr>
          <w:rFonts w:ascii="Times New Roman" w:hAnsi="Times New Roman"/>
          <w:sz w:val="22"/>
          <w:szCs w:val="22"/>
        </w:rPr>
      </w:pPr>
      <w:bookmarkStart w:id="18" w:name="_Toc183314764"/>
      <w:bookmarkStart w:id="19" w:name="_Toc484687250"/>
      <w:r w:rsidRPr="00B2201F">
        <w:rPr>
          <w:rFonts w:ascii="Times New Roman" w:hAnsi="Times New Roman"/>
          <w:sz w:val="22"/>
          <w:szCs w:val="22"/>
        </w:rPr>
        <w:t>P</w:t>
      </w:r>
      <w:r w:rsidR="00D70728" w:rsidRPr="00B2201F">
        <w:rPr>
          <w:rFonts w:ascii="Times New Roman" w:hAnsi="Times New Roman"/>
          <w:sz w:val="22"/>
          <w:szCs w:val="22"/>
        </w:rPr>
        <w:t>OSEBNI DEL PRORAČUNA</w:t>
      </w:r>
      <w:bookmarkEnd w:id="18"/>
      <w:bookmarkEnd w:id="19"/>
    </w:p>
    <w:p w:rsidR="00D70728" w:rsidRPr="00B2201F" w:rsidRDefault="00D70728">
      <w:pPr>
        <w:pStyle w:val="Glava"/>
        <w:tabs>
          <w:tab w:val="clear" w:pos="4536"/>
          <w:tab w:val="clear" w:pos="9072"/>
        </w:tabs>
        <w:rPr>
          <w:sz w:val="22"/>
          <w:szCs w:val="22"/>
        </w:rPr>
      </w:pPr>
    </w:p>
    <w:p w:rsidR="00E1538B" w:rsidRPr="00B2201F" w:rsidRDefault="00E1538B" w:rsidP="00F36B37">
      <w:pPr>
        <w:pStyle w:val="Glava"/>
        <w:tabs>
          <w:tab w:val="clear" w:pos="4536"/>
          <w:tab w:val="clear" w:pos="9072"/>
        </w:tabs>
        <w:jc w:val="both"/>
        <w:rPr>
          <w:sz w:val="22"/>
          <w:szCs w:val="22"/>
        </w:rPr>
      </w:pPr>
      <w:r w:rsidRPr="00B2201F">
        <w:rPr>
          <w:sz w:val="22"/>
          <w:szCs w:val="22"/>
        </w:rPr>
        <w:t>V posebnem delu proračuna so vključeni vsi odhodki in izdatki iz proračuna. Razporejeni so po proračunskih postavkah. Tabela je v prilogi. Obrazložitve postavk so podane v nada</w:t>
      </w:r>
      <w:r w:rsidR="006867F4" w:rsidRPr="00B2201F">
        <w:rPr>
          <w:sz w:val="22"/>
          <w:szCs w:val="22"/>
        </w:rPr>
        <w:t>l</w:t>
      </w:r>
      <w:r w:rsidRPr="00B2201F">
        <w:rPr>
          <w:sz w:val="22"/>
          <w:szCs w:val="22"/>
        </w:rPr>
        <w:t xml:space="preserve">jevanju. Z rebalansom se spreminja višina potrebnih sredstev na proračunskih postavkah in projektih. </w:t>
      </w:r>
    </w:p>
    <w:p w:rsidR="008736B6" w:rsidRDefault="008736B6">
      <w:pPr>
        <w:jc w:val="both"/>
        <w:rPr>
          <w:sz w:val="22"/>
          <w:szCs w:val="22"/>
        </w:rPr>
      </w:pPr>
    </w:p>
    <w:p w:rsidR="00E346B8" w:rsidRPr="00B2201F" w:rsidRDefault="00E346B8">
      <w:pPr>
        <w:jc w:val="both"/>
        <w:rPr>
          <w:sz w:val="22"/>
          <w:szCs w:val="22"/>
        </w:rPr>
      </w:pPr>
    </w:p>
    <w:p w:rsidR="00F36B37" w:rsidRPr="00B2201F" w:rsidRDefault="00F36B37">
      <w:pPr>
        <w:jc w:val="both"/>
        <w:rPr>
          <w:sz w:val="22"/>
          <w:szCs w:val="22"/>
        </w:rPr>
      </w:pPr>
    </w:p>
    <w:p w:rsidR="008A43A4" w:rsidRPr="00B2201F" w:rsidRDefault="008A43A4" w:rsidP="00EA0DB0">
      <w:pPr>
        <w:pStyle w:val="Naslov2"/>
        <w:jc w:val="both"/>
        <w:rPr>
          <w:szCs w:val="22"/>
        </w:rPr>
      </w:pPr>
      <w:bookmarkStart w:id="20" w:name="_Toc183314768"/>
      <w:bookmarkStart w:id="21" w:name="_Toc484687251"/>
      <w:r w:rsidRPr="00B2201F">
        <w:rPr>
          <w:szCs w:val="22"/>
        </w:rPr>
        <w:t>4000 – OBČINSKA UPRAVA</w:t>
      </w:r>
      <w:bookmarkEnd w:id="20"/>
      <w:bookmarkEnd w:id="21"/>
    </w:p>
    <w:p w:rsidR="00A466EC" w:rsidRPr="00B2201F" w:rsidRDefault="00A466EC" w:rsidP="00A466EC">
      <w:pPr>
        <w:rPr>
          <w:sz w:val="22"/>
          <w:szCs w:val="22"/>
        </w:rPr>
      </w:pPr>
    </w:p>
    <w:p w:rsidR="00773948" w:rsidRDefault="00803E48" w:rsidP="00EA0DB0">
      <w:pPr>
        <w:jc w:val="both"/>
        <w:rPr>
          <w:sz w:val="22"/>
          <w:szCs w:val="22"/>
          <w:u w:val="single"/>
        </w:rPr>
      </w:pPr>
      <w:r>
        <w:rPr>
          <w:sz w:val="22"/>
          <w:szCs w:val="22"/>
          <w:u w:val="single"/>
        </w:rPr>
        <w:t>O4 SKUPNE ADMINISTRATIVNE SLUŽBE IN SPLOŠNE JAVNE STORITVE</w:t>
      </w:r>
    </w:p>
    <w:p w:rsidR="006237E6" w:rsidRPr="00B2201F" w:rsidRDefault="006237E6" w:rsidP="00EA0DB0">
      <w:pPr>
        <w:jc w:val="both"/>
        <w:rPr>
          <w:sz w:val="22"/>
          <w:szCs w:val="22"/>
          <w:u w:val="single"/>
        </w:rPr>
      </w:pPr>
    </w:p>
    <w:p w:rsidR="006237E6" w:rsidRPr="006237E6" w:rsidRDefault="006237E6" w:rsidP="006237E6">
      <w:pPr>
        <w:jc w:val="both"/>
        <w:rPr>
          <w:b/>
          <w:sz w:val="22"/>
          <w:szCs w:val="22"/>
        </w:rPr>
      </w:pPr>
      <w:r w:rsidRPr="006237E6">
        <w:rPr>
          <w:b/>
          <w:sz w:val="22"/>
          <w:szCs w:val="22"/>
        </w:rPr>
        <w:t xml:space="preserve">0434 – Stroški sodnih postopkov in odvetniških storitev </w:t>
      </w:r>
    </w:p>
    <w:p w:rsidR="002C7C69" w:rsidRPr="002C7C69" w:rsidRDefault="002C7C69" w:rsidP="002C7C69">
      <w:pPr>
        <w:jc w:val="both"/>
        <w:rPr>
          <w:sz w:val="22"/>
          <w:szCs w:val="22"/>
        </w:rPr>
      </w:pPr>
      <w:r w:rsidRPr="002C7C69">
        <w:rPr>
          <w:sz w:val="22"/>
          <w:szCs w:val="22"/>
        </w:rPr>
        <w:t>Proračunska postavka se poveča za 10.000,00 €, zaradi stroškov sodnih cenitev, odvetniških in notarskih stroškov, povezanih z upravljanjem občinskega premoženja.</w:t>
      </w:r>
    </w:p>
    <w:p w:rsidR="002C7C69" w:rsidRPr="002C7C69" w:rsidRDefault="002C7C69" w:rsidP="002C7C69">
      <w:pPr>
        <w:jc w:val="both"/>
        <w:rPr>
          <w:sz w:val="22"/>
          <w:szCs w:val="22"/>
        </w:rPr>
      </w:pPr>
    </w:p>
    <w:p w:rsidR="003D76A2" w:rsidRPr="00B2201F" w:rsidRDefault="003D76A2" w:rsidP="003D76A2">
      <w:pPr>
        <w:jc w:val="both"/>
        <w:rPr>
          <w:sz w:val="22"/>
          <w:szCs w:val="22"/>
          <w:u w:val="single"/>
        </w:rPr>
      </w:pPr>
      <w:r>
        <w:rPr>
          <w:sz w:val="22"/>
          <w:szCs w:val="22"/>
          <w:u w:val="single"/>
        </w:rPr>
        <w:t>O6 LOKALNA SAMOUPRAVA</w:t>
      </w:r>
    </w:p>
    <w:p w:rsidR="003D76A2" w:rsidRPr="00B2201F" w:rsidRDefault="003D76A2" w:rsidP="00EA0DB0">
      <w:pPr>
        <w:jc w:val="both"/>
        <w:rPr>
          <w:b/>
          <w:sz w:val="22"/>
          <w:szCs w:val="22"/>
        </w:rPr>
      </w:pPr>
    </w:p>
    <w:p w:rsidR="00721AE9" w:rsidRPr="003D76A2" w:rsidRDefault="003D76A2" w:rsidP="00721AE9">
      <w:pPr>
        <w:jc w:val="both"/>
        <w:rPr>
          <w:b/>
          <w:sz w:val="22"/>
          <w:szCs w:val="22"/>
        </w:rPr>
      </w:pPr>
      <w:r w:rsidRPr="003D76A2">
        <w:rPr>
          <w:b/>
          <w:sz w:val="22"/>
          <w:szCs w:val="22"/>
        </w:rPr>
        <w:t>0614</w:t>
      </w:r>
      <w:r w:rsidR="00721AE9" w:rsidRPr="003D76A2">
        <w:rPr>
          <w:b/>
          <w:sz w:val="22"/>
          <w:szCs w:val="22"/>
        </w:rPr>
        <w:t xml:space="preserve"> – </w:t>
      </w:r>
      <w:r w:rsidRPr="003D76A2">
        <w:rPr>
          <w:b/>
          <w:sz w:val="22"/>
          <w:szCs w:val="22"/>
        </w:rPr>
        <w:t>Druge strokovne podlage</w:t>
      </w:r>
    </w:p>
    <w:p w:rsidR="00721AE9" w:rsidRPr="003D76A2" w:rsidRDefault="003D76A2" w:rsidP="00721AE9">
      <w:pPr>
        <w:jc w:val="both"/>
        <w:rPr>
          <w:sz w:val="22"/>
          <w:szCs w:val="22"/>
        </w:rPr>
      </w:pPr>
      <w:r>
        <w:rPr>
          <w:sz w:val="22"/>
          <w:szCs w:val="22"/>
        </w:rPr>
        <w:t>Znesek na proračunski postavki druge strokovne podlage se poveča za vrednost 5.000 €</w:t>
      </w:r>
      <w:r w:rsidR="00423931">
        <w:rPr>
          <w:sz w:val="22"/>
          <w:szCs w:val="22"/>
        </w:rPr>
        <w:t xml:space="preserve"> za strošek, ki bo nastal pri označevanju uličnega sistema v Poslovnem centru na letališču. </w:t>
      </w:r>
    </w:p>
    <w:p w:rsidR="006F2AD5" w:rsidRPr="003D76A2" w:rsidRDefault="006F2AD5" w:rsidP="00721AE9">
      <w:pPr>
        <w:jc w:val="both"/>
        <w:rPr>
          <w:sz w:val="22"/>
          <w:szCs w:val="22"/>
          <w:highlight w:val="yellow"/>
        </w:rPr>
      </w:pPr>
    </w:p>
    <w:p w:rsidR="006F2AD5" w:rsidRPr="00423931" w:rsidRDefault="00423931" w:rsidP="006F2AD5">
      <w:pPr>
        <w:jc w:val="both"/>
        <w:rPr>
          <w:b/>
          <w:sz w:val="22"/>
          <w:szCs w:val="22"/>
        </w:rPr>
      </w:pPr>
      <w:r w:rsidRPr="00423931">
        <w:rPr>
          <w:b/>
          <w:sz w:val="22"/>
          <w:szCs w:val="22"/>
        </w:rPr>
        <w:t>0631</w:t>
      </w:r>
      <w:r w:rsidR="006F2AD5" w:rsidRPr="00423931">
        <w:rPr>
          <w:b/>
          <w:sz w:val="22"/>
          <w:szCs w:val="22"/>
        </w:rPr>
        <w:t xml:space="preserve"> – </w:t>
      </w:r>
      <w:r w:rsidRPr="00423931">
        <w:rPr>
          <w:b/>
          <w:sz w:val="22"/>
          <w:szCs w:val="22"/>
        </w:rPr>
        <w:t xml:space="preserve">Delovanje občinske uprave </w:t>
      </w:r>
    </w:p>
    <w:p w:rsidR="00FE447E" w:rsidRPr="00FE447E" w:rsidRDefault="00FE447E" w:rsidP="00FE447E">
      <w:pPr>
        <w:rPr>
          <w:sz w:val="22"/>
          <w:szCs w:val="22"/>
        </w:rPr>
      </w:pPr>
      <w:r w:rsidRPr="00FE447E">
        <w:rPr>
          <w:sz w:val="22"/>
          <w:szCs w:val="22"/>
        </w:rPr>
        <w:t>Zaradi povečanega obsega dela, ki ga s strani javnih uslužbencev ni možno opraviti v rednem delovnem času, je potr</w:t>
      </w:r>
      <w:r>
        <w:rPr>
          <w:sz w:val="22"/>
          <w:szCs w:val="22"/>
        </w:rPr>
        <w:t>ebno sredstva za nadurno delo še</w:t>
      </w:r>
      <w:r w:rsidRPr="00FE447E">
        <w:rPr>
          <w:sz w:val="22"/>
          <w:szCs w:val="22"/>
        </w:rPr>
        <w:t xml:space="preserve"> povečati za 4.000 €. Na podlagi Zakona o ukrepih na področju plač in drugih stroškov dela za leto 2017 (Uradni list RS, št. 88/16; v nadaljevanju ZUPPJS17), ki v 8. členu za leto 2017 določa višino vplačil  kolektivnega dodatnega pokojninskega zavarovanja za javne uslužbence, je potrebno za vplačilo premij kolektivnega dodatnega zavarovanja zagotoviti dodatnih 2.000 €.</w:t>
      </w:r>
    </w:p>
    <w:p w:rsidR="006F2AD5" w:rsidRDefault="006F2AD5" w:rsidP="00721AE9">
      <w:pPr>
        <w:jc w:val="both"/>
        <w:rPr>
          <w:sz w:val="22"/>
          <w:szCs w:val="22"/>
          <w:highlight w:val="yellow"/>
        </w:rPr>
      </w:pPr>
      <w:r w:rsidRPr="003D76A2">
        <w:rPr>
          <w:sz w:val="22"/>
          <w:szCs w:val="22"/>
          <w:highlight w:val="yellow"/>
        </w:rPr>
        <w:t xml:space="preserve"> </w:t>
      </w:r>
    </w:p>
    <w:p w:rsidR="00F50582" w:rsidRDefault="00F50582" w:rsidP="00F50582">
      <w:pPr>
        <w:jc w:val="both"/>
        <w:rPr>
          <w:b/>
          <w:sz w:val="22"/>
          <w:szCs w:val="22"/>
        </w:rPr>
      </w:pPr>
      <w:r>
        <w:rPr>
          <w:b/>
          <w:sz w:val="22"/>
          <w:szCs w:val="22"/>
        </w:rPr>
        <w:t>0633</w:t>
      </w:r>
      <w:r w:rsidRPr="00423931">
        <w:rPr>
          <w:b/>
          <w:sz w:val="22"/>
          <w:szCs w:val="22"/>
        </w:rPr>
        <w:t xml:space="preserve"> – </w:t>
      </w:r>
      <w:r>
        <w:rPr>
          <w:b/>
          <w:sz w:val="22"/>
          <w:szCs w:val="22"/>
        </w:rPr>
        <w:t>Notranji nadzor</w:t>
      </w:r>
    </w:p>
    <w:p w:rsidR="00FA1168" w:rsidRPr="00FA1168" w:rsidRDefault="00FA1168" w:rsidP="00FA1168">
      <w:pPr>
        <w:jc w:val="both"/>
        <w:rPr>
          <w:b/>
          <w:bCs/>
          <w:sz w:val="22"/>
          <w:szCs w:val="22"/>
        </w:rPr>
      </w:pPr>
      <w:r w:rsidRPr="00FA1168">
        <w:rPr>
          <w:sz w:val="22"/>
          <w:szCs w:val="22"/>
        </w:rPr>
        <w:t>Skladno z določili Pravilnika o usmeritvah za usklajeno delovanje sistema notranjega nadzora javnih financ je potrebno zagotoviti notranjo revizijo poslovanja. Na proračunski postavki se poveča znesek za 4.500 €, glede na prejete ponudbe za izvedbo notranje revizije poslovanja.</w:t>
      </w:r>
    </w:p>
    <w:p w:rsidR="00F50582" w:rsidRDefault="00F50582" w:rsidP="00F50582">
      <w:pPr>
        <w:jc w:val="both"/>
        <w:rPr>
          <w:b/>
          <w:sz w:val="22"/>
          <w:szCs w:val="22"/>
        </w:rPr>
      </w:pPr>
    </w:p>
    <w:p w:rsidR="00E62FF2" w:rsidRDefault="00E62FF2" w:rsidP="00E62FF2">
      <w:pPr>
        <w:jc w:val="both"/>
        <w:rPr>
          <w:b/>
          <w:sz w:val="22"/>
          <w:szCs w:val="22"/>
        </w:rPr>
      </w:pPr>
      <w:r>
        <w:rPr>
          <w:b/>
          <w:sz w:val="22"/>
          <w:szCs w:val="22"/>
        </w:rPr>
        <w:t>0637</w:t>
      </w:r>
      <w:r w:rsidRPr="00423931">
        <w:rPr>
          <w:b/>
          <w:sz w:val="22"/>
          <w:szCs w:val="22"/>
        </w:rPr>
        <w:t xml:space="preserve"> – </w:t>
      </w:r>
      <w:r>
        <w:rPr>
          <w:b/>
          <w:sz w:val="22"/>
          <w:szCs w:val="22"/>
        </w:rPr>
        <w:t>Razpolaganje in upravljanje s premoženjem, potrebnim za delovanje občinske uprave</w:t>
      </w:r>
    </w:p>
    <w:p w:rsidR="00D47800" w:rsidRPr="006A5A83" w:rsidRDefault="00D47800" w:rsidP="00D47800">
      <w:pPr>
        <w:jc w:val="both"/>
        <w:rPr>
          <w:sz w:val="22"/>
          <w:szCs w:val="22"/>
        </w:rPr>
      </w:pPr>
      <w:r>
        <w:rPr>
          <w:sz w:val="22"/>
          <w:szCs w:val="22"/>
        </w:rPr>
        <w:t xml:space="preserve">Znesek se na proračunski postavki poveča za 8.000 €, </w:t>
      </w:r>
      <w:r w:rsidRPr="00D47800">
        <w:rPr>
          <w:sz w:val="22"/>
          <w:szCs w:val="22"/>
        </w:rPr>
        <w:t>dodatno se planirajo stroški za leto 2017 za izdelavo projekta plinske inštalacije za priklop na zemeljski plin - stavba Občine Cerklje na Gorenjskem; prehod na nov energent s kurilnega olja na zemeljski plin in stroški investicijskega nadzora. Planira se dodatni nakup osebnega računalnika in posodobitev domenskega strežnika.</w:t>
      </w:r>
    </w:p>
    <w:p w:rsidR="00F50582" w:rsidRDefault="00F50582" w:rsidP="00721AE9">
      <w:pPr>
        <w:jc w:val="both"/>
        <w:rPr>
          <w:sz w:val="22"/>
          <w:szCs w:val="22"/>
          <w:highlight w:val="yellow"/>
        </w:rPr>
      </w:pPr>
    </w:p>
    <w:p w:rsidR="000322C8" w:rsidRPr="00B2201F" w:rsidRDefault="000322C8" w:rsidP="000322C8">
      <w:pPr>
        <w:jc w:val="both"/>
        <w:rPr>
          <w:sz w:val="22"/>
          <w:szCs w:val="22"/>
          <w:u w:val="single"/>
        </w:rPr>
      </w:pPr>
      <w:r>
        <w:rPr>
          <w:sz w:val="22"/>
          <w:szCs w:val="22"/>
          <w:u w:val="single"/>
        </w:rPr>
        <w:t>13 PROMET, PROMETNA INFRASTRUKTURA IN KOMUNIKACIJE</w:t>
      </w:r>
    </w:p>
    <w:p w:rsidR="000322C8" w:rsidRPr="003D76A2" w:rsidRDefault="000322C8" w:rsidP="00721AE9">
      <w:pPr>
        <w:jc w:val="both"/>
        <w:rPr>
          <w:sz w:val="22"/>
          <w:szCs w:val="22"/>
          <w:highlight w:val="yellow"/>
        </w:rPr>
      </w:pPr>
    </w:p>
    <w:p w:rsidR="006F2AD5" w:rsidRPr="000322C8" w:rsidRDefault="000322C8" w:rsidP="006F2AD5">
      <w:pPr>
        <w:jc w:val="both"/>
        <w:rPr>
          <w:b/>
          <w:sz w:val="22"/>
          <w:szCs w:val="22"/>
        </w:rPr>
      </w:pPr>
      <w:r w:rsidRPr="000322C8">
        <w:rPr>
          <w:b/>
          <w:sz w:val="22"/>
          <w:szCs w:val="22"/>
        </w:rPr>
        <w:t>1330</w:t>
      </w:r>
      <w:r w:rsidR="006F2AD5" w:rsidRPr="000322C8">
        <w:rPr>
          <w:b/>
          <w:sz w:val="22"/>
          <w:szCs w:val="22"/>
        </w:rPr>
        <w:t xml:space="preserve"> – </w:t>
      </w:r>
      <w:r w:rsidRPr="000322C8">
        <w:rPr>
          <w:b/>
          <w:sz w:val="22"/>
          <w:szCs w:val="22"/>
        </w:rPr>
        <w:t>Državne ceste</w:t>
      </w:r>
    </w:p>
    <w:p w:rsidR="001C3309" w:rsidRPr="000322C8" w:rsidRDefault="001C3309" w:rsidP="001C3309">
      <w:pPr>
        <w:jc w:val="both"/>
        <w:rPr>
          <w:sz w:val="22"/>
          <w:szCs w:val="22"/>
        </w:rPr>
      </w:pPr>
      <w:r w:rsidRPr="001C3309">
        <w:rPr>
          <w:sz w:val="22"/>
          <w:szCs w:val="22"/>
        </w:rPr>
        <w:t>Povečajo se sredstva za investicijski nadzor v vrednosti 4.000 € za projekt prestavitve državne ceste G2-104 v katerem občina Cerklje sodeluje kot sofinancer.</w:t>
      </w:r>
    </w:p>
    <w:p w:rsidR="00721AE9" w:rsidRDefault="00721AE9" w:rsidP="00EA0DB0">
      <w:pPr>
        <w:jc w:val="both"/>
        <w:rPr>
          <w:sz w:val="22"/>
          <w:szCs w:val="22"/>
          <w:highlight w:val="yellow"/>
        </w:rPr>
      </w:pPr>
    </w:p>
    <w:p w:rsidR="00FA0AF6" w:rsidRDefault="00FA0AF6" w:rsidP="00FA0AF6">
      <w:pPr>
        <w:jc w:val="both"/>
        <w:rPr>
          <w:b/>
          <w:sz w:val="22"/>
          <w:szCs w:val="22"/>
        </w:rPr>
      </w:pPr>
      <w:r>
        <w:rPr>
          <w:b/>
          <w:sz w:val="22"/>
          <w:szCs w:val="22"/>
        </w:rPr>
        <w:t>1332</w:t>
      </w:r>
      <w:r w:rsidRPr="000322C8">
        <w:rPr>
          <w:b/>
          <w:sz w:val="22"/>
          <w:szCs w:val="22"/>
        </w:rPr>
        <w:t xml:space="preserve"> – </w:t>
      </w:r>
      <w:r>
        <w:rPr>
          <w:b/>
          <w:sz w:val="22"/>
          <w:szCs w:val="22"/>
        </w:rPr>
        <w:t>Urejanje prometa</w:t>
      </w:r>
    </w:p>
    <w:p w:rsidR="00FA0AF6" w:rsidRPr="00FA0AF6" w:rsidRDefault="00FA0AF6" w:rsidP="00FA0AF6">
      <w:pPr>
        <w:jc w:val="both"/>
        <w:rPr>
          <w:sz w:val="22"/>
          <w:szCs w:val="22"/>
        </w:rPr>
      </w:pPr>
      <w:r w:rsidRPr="00FA0AF6">
        <w:rPr>
          <w:sz w:val="22"/>
          <w:szCs w:val="22"/>
        </w:rPr>
        <w:t xml:space="preserve">Na proračunski postavki se povečajo sredstva v </w:t>
      </w:r>
      <w:r>
        <w:rPr>
          <w:sz w:val="22"/>
          <w:szCs w:val="22"/>
        </w:rPr>
        <w:t xml:space="preserve">vrednosti 50.000 €, </w:t>
      </w:r>
      <w:r w:rsidRPr="00FA0AF6">
        <w:rPr>
          <w:sz w:val="22"/>
          <w:szCs w:val="22"/>
        </w:rPr>
        <w:t xml:space="preserve">za nakup prometne signalizacije in </w:t>
      </w:r>
      <w:r w:rsidR="008713B3">
        <w:rPr>
          <w:sz w:val="22"/>
          <w:szCs w:val="22"/>
        </w:rPr>
        <w:t>radarja</w:t>
      </w:r>
      <w:r>
        <w:rPr>
          <w:sz w:val="22"/>
          <w:szCs w:val="22"/>
        </w:rPr>
        <w:t>. Stroški investicije so dodani v načrt razvojnih programov pod številko OB012-14-0013.</w:t>
      </w:r>
    </w:p>
    <w:p w:rsidR="00FA0AF6" w:rsidRDefault="00FA0AF6" w:rsidP="00EA0DB0">
      <w:pPr>
        <w:jc w:val="both"/>
        <w:rPr>
          <w:sz w:val="22"/>
          <w:szCs w:val="22"/>
          <w:highlight w:val="yellow"/>
        </w:rPr>
      </w:pPr>
    </w:p>
    <w:p w:rsidR="000322C8" w:rsidRDefault="000322C8" w:rsidP="000322C8">
      <w:pPr>
        <w:jc w:val="both"/>
        <w:rPr>
          <w:sz w:val="22"/>
          <w:szCs w:val="22"/>
          <w:u w:val="single"/>
        </w:rPr>
      </w:pPr>
      <w:r>
        <w:rPr>
          <w:sz w:val="22"/>
          <w:szCs w:val="22"/>
          <w:u w:val="single"/>
        </w:rPr>
        <w:t>14 GOSPODARSTVO</w:t>
      </w:r>
    </w:p>
    <w:p w:rsidR="008713B3" w:rsidRDefault="008713B3" w:rsidP="000322C8">
      <w:pPr>
        <w:jc w:val="both"/>
        <w:rPr>
          <w:sz w:val="22"/>
          <w:szCs w:val="22"/>
          <w:u w:val="single"/>
        </w:rPr>
      </w:pPr>
    </w:p>
    <w:p w:rsidR="005F478E" w:rsidRDefault="005F478E" w:rsidP="005F478E">
      <w:pPr>
        <w:jc w:val="both"/>
        <w:rPr>
          <w:b/>
          <w:sz w:val="22"/>
          <w:szCs w:val="22"/>
        </w:rPr>
      </w:pPr>
      <w:r w:rsidRPr="00D60120">
        <w:rPr>
          <w:b/>
          <w:sz w:val="22"/>
          <w:szCs w:val="22"/>
        </w:rPr>
        <w:t>14</w:t>
      </w:r>
      <w:r>
        <w:rPr>
          <w:b/>
          <w:sz w:val="22"/>
          <w:szCs w:val="22"/>
        </w:rPr>
        <w:t xml:space="preserve">25 </w:t>
      </w:r>
      <w:r w:rsidRPr="00D60120">
        <w:rPr>
          <w:b/>
          <w:sz w:val="22"/>
          <w:szCs w:val="22"/>
        </w:rPr>
        <w:t xml:space="preserve">– </w:t>
      </w:r>
      <w:r>
        <w:rPr>
          <w:b/>
          <w:sz w:val="22"/>
          <w:szCs w:val="22"/>
        </w:rPr>
        <w:t>Premuzarjeva hiša – večnamenski objekt</w:t>
      </w:r>
    </w:p>
    <w:p w:rsidR="005F478E" w:rsidRPr="00086E1F" w:rsidRDefault="00086E1F" w:rsidP="000322C8">
      <w:pPr>
        <w:jc w:val="both"/>
        <w:rPr>
          <w:sz w:val="22"/>
          <w:szCs w:val="22"/>
        </w:rPr>
      </w:pPr>
      <w:r>
        <w:rPr>
          <w:sz w:val="22"/>
          <w:szCs w:val="22"/>
        </w:rPr>
        <w:t>Projekt Premuzarjeva hiša se ukine. Sredstva so se prenesla na nov projekt,</w:t>
      </w:r>
      <w:r w:rsidR="00E95EEE">
        <w:rPr>
          <w:sz w:val="22"/>
          <w:szCs w:val="22"/>
        </w:rPr>
        <w:t xml:space="preserve"> na proračunsko postavko</w:t>
      </w:r>
      <w:r>
        <w:rPr>
          <w:sz w:val="22"/>
          <w:szCs w:val="22"/>
        </w:rPr>
        <w:t xml:space="preserve"> dejavnost zdravstvenih domov</w:t>
      </w:r>
      <w:r w:rsidR="00E95EEE">
        <w:rPr>
          <w:sz w:val="22"/>
          <w:szCs w:val="22"/>
        </w:rPr>
        <w:t>,</w:t>
      </w:r>
      <w:r>
        <w:rPr>
          <w:sz w:val="22"/>
          <w:szCs w:val="22"/>
        </w:rPr>
        <w:t xml:space="preserve"> 1773 – Zdravstveni dom.</w:t>
      </w:r>
    </w:p>
    <w:p w:rsidR="005F478E" w:rsidRDefault="005F478E" w:rsidP="000322C8">
      <w:pPr>
        <w:jc w:val="both"/>
        <w:rPr>
          <w:b/>
          <w:sz w:val="22"/>
          <w:szCs w:val="22"/>
        </w:rPr>
      </w:pPr>
    </w:p>
    <w:p w:rsidR="000322C8" w:rsidRDefault="000322C8" w:rsidP="000322C8">
      <w:pPr>
        <w:jc w:val="both"/>
        <w:rPr>
          <w:b/>
          <w:sz w:val="22"/>
          <w:szCs w:val="22"/>
        </w:rPr>
      </w:pPr>
      <w:r>
        <w:rPr>
          <w:b/>
          <w:sz w:val="22"/>
          <w:szCs w:val="22"/>
        </w:rPr>
        <w:t>1444</w:t>
      </w:r>
      <w:r w:rsidRPr="000322C8">
        <w:rPr>
          <w:b/>
          <w:sz w:val="22"/>
          <w:szCs w:val="22"/>
        </w:rPr>
        <w:t xml:space="preserve"> – </w:t>
      </w:r>
      <w:r>
        <w:rPr>
          <w:b/>
          <w:sz w:val="22"/>
          <w:szCs w:val="22"/>
        </w:rPr>
        <w:t>Zavod za turizem</w:t>
      </w:r>
    </w:p>
    <w:p w:rsidR="000322C8" w:rsidRPr="000322C8" w:rsidRDefault="000322C8" w:rsidP="000322C8">
      <w:pPr>
        <w:jc w:val="both"/>
        <w:rPr>
          <w:sz w:val="22"/>
          <w:szCs w:val="22"/>
        </w:rPr>
      </w:pPr>
      <w:r>
        <w:rPr>
          <w:sz w:val="22"/>
          <w:szCs w:val="22"/>
        </w:rPr>
        <w:t>Povečajo se</w:t>
      </w:r>
      <w:r w:rsidR="00AD44CC">
        <w:rPr>
          <w:sz w:val="22"/>
          <w:szCs w:val="22"/>
        </w:rPr>
        <w:t xml:space="preserve"> sredstva za 4 mesečne plače, plača</w:t>
      </w:r>
      <w:r>
        <w:rPr>
          <w:sz w:val="22"/>
          <w:szCs w:val="22"/>
        </w:rPr>
        <w:t xml:space="preserve"> novega direktorja Zavoda za Turizem</w:t>
      </w:r>
      <w:r w:rsidR="00AD44CC">
        <w:rPr>
          <w:sz w:val="22"/>
          <w:szCs w:val="22"/>
        </w:rPr>
        <w:t xml:space="preserve"> za katerega je bil izveden razpis</w:t>
      </w:r>
      <w:r>
        <w:rPr>
          <w:sz w:val="22"/>
          <w:szCs w:val="22"/>
        </w:rPr>
        <w:t xml:space="preserve">. </w:t>
      </w:r>
    </w:p>
    <w:p w:rsidR="000322C8" w:rsidRPr="003D76A2" w:rsidRDefault="000322C8" w:rsidP="00EA0DB0">
      <w:pPr>
        <w:jc w:val="both"/>
        <w:rPr>
          <w:sz w:val="22"/>
          <w:szCs w:val="22"/>
          <w:highlight w:val="yellow"/>
        </w:rPr>
      </w:pPr>
    </w:p>
    <w:p w:rsidR="006F2AD5" w:rsidRPr="00D60120" w:rsidRDefault="006F2AD5" w:rsidP="006F2AD5">
      <w:pPr>
        <w:jc w:val="both"/>
        <w:rPr>
          <w:b/>
          <w:sz w:val="22"/>
          <w:szCs w:val="22"/>
        </w:rPr>
      </w:pPr>
      <w:r w:rsidRPr="00D60120">
        <w:rPr>
          <w:b/>
          <w:sz w:val="22"/>
          <w:szCs w:val="22"/>
        </w:rPr>
        <w:t>1</w:t>
      </w:r>
      <w:r w:rsidR="000322C8" w:rsidRPr="00D60120">
        <w:rPr>
          <w:b/>
          <w:sz w:val="22"/>
          <w:szCs w:val="22"/>
        </w:rPr>
        <w:t>453</w:t>
      </w:r>
      <w:r w:rsidRPr="00D60120">
        <w:rPr>
          <w:b/>
          <w:sz w:val="22"/>
          <w:szCs w:val="22"/>
        </w:rPr>
        <w:t xml:space="preserve">– </w:t>
      </w:r>
      <w:r w:rsidR="000322C8" w:rsidRPr="00D60120">
        <w:rPr>
          <w:b/>
          <w:sz w:val="22"/>
          <w:szCs w:val="22"/>
        </w:rPr>
        <w:t>LAS programi - CLLD</w:t>
      </w:r>
    </w:p>
    <w:p w:rsidR="003B33A5" w:rsidRDefault="003B33A5" w:rsidP="006F2AD5">
      <w:pPr>
        <w:jc w:val="both"/>
        <w:rPr>
          <w:sz w:val="22"/>
          <w:szCs w:val="22"/>
        </w:rPr>
      </w:pPr>
      <w:r>
        <w:rPr>
          <w:sz w:val="22"/>
          <w:szCs w:val="22"/>
        </w:rPr>
        <w:t>Občina ocenjuje da potrebuje dodatnih 210.000 € na proračunski postavki Las programi – CLLD.  Na podlagi javnega poziva porabe sredstev sklada za lokalni razvoj, ki ga vodi skupnost (community –led local development – ali CLLD) je občina predložila vloge, za projekte;</w:t>
      </w:r>
    </w:p>
    <w:p w:rsidR="003B33A5" w:rsidRDefault="003B33A5" w:rsidP="006F2AD5">
      <w:pPr>
        <w:jc w:val="both"/>
        <w:rPr>
          <w:sz w:val="22"/>
          <w:szCs w:val="22"/>
        </w:rPr>
      </w:pPr>
      <w:r>
        <w:rPr>
          <w:sz w:val="22"/>
          <w:szCs w:val="22"/>
        </w:rPr>
        <w:t xml:space="preserve">- zunanji fitnes, </w:t>
      </w:r>
    </w:p>
    <w:p w:rsidR="003B33A5" w:rsidRDefault="003B33A5" w:rsidP="006F2AD5">
      <w:pPr>
        <w:jc w:val="both"/>
        <w:rPr>
          <w:sz w:val="22"/>
          <w:szCs w:val="22"/>
        </w:rPr>
      </w:pPr>
      <w:r>
        <w:rPr>
          <w:sz w:val="22"/>
          <w:szCs w:val="22"/>
        </w:rPr>
        <w:t xml:space="preserve">- otroška igrišča, </w:t>
      </w:r>
    </w:p>
    <w:p w:rsidR="003B33A5" w:rsidRDefault="003B33A5" w:rsidP="006F2AD5">
      <w:pPr>
        <w:jc w:val="both"/>
        <w:rPr>
          <w:sz w:val="22"/>
          <w:szCs w:val="22"/>
        </w:rPr>
      </w:pPr>
      <w:r>
        <w:rPr>
          <w:sz w:val="22"/>
          <w:szCs w:val="22"/>
        </w:rPr>
        <w:t>- inovativno svetlobno osvetljevanje na Ambrožu pod Krvavcem</w:t>
      </w:r>
    </w:p>
    <w:p w:rsidR="005F478E" w:rsidRDefault="003B33A5" w:rsidP="006F2AD5">
      <w:pPr>
        <w:jc w:val="both"/>
        <w:rPr>
          <w:sz w:val="22"/>
          <w:szCs w:val="22"/>
        </w:rPr>
      </w:pPr>
      <w:r>
        <w:rPr>
          <w:sz w:val="22"/>
          <w:szCs w:val="22"/>
        </w:rPr>
        <w:t xml:space="preserve">- obnova in širitev arheološkega muzeja v Petrovčevi hiši. </w:t>
      </w:r>
    </w:p>
    <w:p w:rsidR="005F478E" w:rsidRDefault="005F478E" w:rsidP="005F478E">
      <w:pPr>
        <w:jc w:val="both"/>
        <w:rPr>
          <w:sz w:val="22"/>
          <w:szCs w:val="22"/>
          <w:u w:val="single"/>
        </w:rPr>
      </w:pPr>
    </w:p>
    <w:p w:rsidR="00A3684C" w:rsidRPr="00FF2CD3" w:rsidRDefault="00A20A1B" w:rsidP="00A3684C">
      <w:pPr>
        <w:jc w:val="both"/>
        <w:rPr>
          <w:b/>
          <w:sz w:val="22"/>
          <w:szCs w:val="22"/>
        </w:rPr>
      </w:pPr>
      <w:r w:rsidRPr="00FF2CD3">
        <w:rPr>
          <w:b/>
          <w:sz w:val="22"/>
          <w:szCs w:val="22"/>
        </w:rPr>
        <w:t>1451</w:t>
      </w:r>
      <w:r w:rsidR="00A3684C" w:rsidRPr="00FF2CD3">
        <w:rPr>
          <w:b/>
          <w:sz w:val="22"/>
          <w:szCs w:val="22"/>
        </w:rPr>
        <w:t xml:space="preserve"> – </w:t>
      </w:r>
      <w:r w:rsidRPr="00FF2CD3">
        <w:rPr>
          <w:b/>
          <w:sz w:val="22"/>
          <w:szCs w:val="22"/>
        </w:rPr>
        <w:t>RTC Krvavec zavezujoča ponudba</w:t>
      </w:r>
    </w:p>
    <w:p w:rsidR="008A41DE" w:rsidRPr="00A20A1B" w:rsidRDefault="008A41DE" w:rsidP="008A41DE">
      <w:pPr>
        <w:jc w:val="both"/>
        <w:rPr>
          <w:b/>
          <w:sz w:val="22"/>
          <w:szCs w:val="22"/>
        </w:rPr>
      </w:pPr>
      <w:r w:rsidRPr="009A228F">
        <w:rPr>
          <w:sz w:val="22"/>
          <w:szCs w:val="22"/>
        </w:rPr>
        <w:t>Sredstva ki so bila  namenjena za pripravo skrbnega pregleda delovanja družbe RTC Krvavec, d.d.,</w:t>
      </w:r>
      <w:r w:rsidR="00500EA6">
        <w:rPr>
          <w:sz w:val="22"/>
          <w:szCs w:val="22"/>
        </w:rPr>
        <w:t xml:space="preserve"> </w:t>
      </w:r>
      <w:r>
        <w:rPr>
          <w:sz w:val="22"/>
          <w:szCs w:val="22"/>
        </w:rPr>
        <w:t xml:space="preserve"> </w:t>
      </w:r>
      <w:r w:rsidRPr="009A228F">
        <w:rPr>
          <w:sz w:val="22"/>
          <w:szCs w:val="22"/>
        </w:rPr>
        <w:t xml:space="preserve"> in za pripravo zavezujoče ponudbe, se zaradi ne realizacije zmanjšajo v vrednosti </w:t>
      </w:r>
      <w:r>
        <w:rPr>
          <w:sz w:val="22"/>
          <w:szCs w:val="22"/>
        </w:rPr>
        <w:t>33.000</w:t>
      </w:r>
      <w:r w:rsidRPr="009A228F">
        <w:rPr>
          <w:sz w:val="22"/>
          <w:szCs w:val="22"/>
        </w:rPr>
        <w:t xml:space="preserve"> €.</w:t>
      </w:r>
      <w:r>
        <w:rPr>
          <w:sz w:val="22"/>
          <w:szCs w:val="22"/>
        </w:rPr>
        <w:t xml:space="preserve"> </w:t>
      </w:r>
    </w:p>
    <w:p w:rsidR="009F2AA4" w:rsidRDefault="009F2AA4" w:rsidP="008A41DE">
      <w:pPr>
        <w:jc w:val="both"/>
        <w:rPr>
          <w:sz w:val="22"/>
          <w:szCs w:val="22"/>
        </w:rPr>
      </w:pPr>
    </w:p>
    <w:p w:rsidR="009F2AA4" w:rsidRPr="00FF2CD3" w:rsidRDefault="009F2AA4" w:rsidP="009F2AA4">
      <w:pPr>
        <w:jc w:val="both"/>
        <w:rPr>
          <w:b/>
          <w:sz w:val="22"/>
          <w:szCs w:val="22"/>
        </w:rPr>
      </w:pPr>
      <w:r>
        <w:rPr>
          <w:b/>
          <w:sz w:val="22"/>
          <w:szCs w:val="22"/>
        </w:rPr>
        <w:t>1454</w:t>
      </w:r>
      <w:r w:rsidRPr="00FF2CD3">
        <w:rPr>
          <w:b/>
          <w:sz w:val="22"/>
          <w:szCs w:val="22"/>
        </w:rPr>
        <w:t xml:space="preserve"> – </w:t>
      </w:r>
      <w:r>
        <w:rPr>
          <w:b/>
          <w:sz w:val="22"/>
          <w:szCs w:val="22"/>
        </w:rPr>
        <w:t>Polnilnica za električne avtomobile</w:t>
      </w:r>
    </w:p>
    <w:p w:rsidR="008A41DE" w:rsidRPr="00B2201F" w:rsidRDefault="009F2AA4" w:rsidP="008A41DE">
      <w:pPr>
        <w:jc w:val="both"/>
        <w:rPr>
          <w:sz w:val="22"/>
          <w:szCs w:val="22"/>
        </w:rPr>
      </w:pPr>
      <w:r>
        <w:rPr>
          <w:sz w:val="22"/>
          <w:szCs w:val="22"/>
        </w:rPr>
        <w:t>Za projekt smo rezervirali sredstva v vrednosti 6.000 €</w:t>
      </w:r>
      <w:r w:rsidR="004441DA">
        <w:rPr>
          <w:sz w:val="22"/>
          <w:szCs w:val="22"/>
        </w:rPr>
        <w:t>,</w:t>
      </w:r>
      <w:r>
        <w:rPr>
          <w:sz w:val="22"/>
          <w:szCs w:val="22"/>
        </w:rPr>
        <w:t xml:space="preserve"> za postavitev polnilnice za električne avtomobile. Projekt je dodan v načrt razvojnih programov pod številko OB012-17-0013.</w:t>
      </w:r>
    </w:p>
    <w:p w:rsidR="00A3684C" w:rsidRDefault="00A3684C" w:rsidP="005F478E">
      <w:pPr>
        <w:jc w:val="both"/>
        <w:rPr>
          <w:sz w:val="22"/>
          <w:szCs w:val="22"/>
          <w:u w:val="single"/>
        </w:rPr>
      </w:pPr>
    </w:p>
    <w:p w:rsidR="005F478E" w:rsidRDefault="005F478E" w:rsidP="005F478E">
      <w:pPr>
        <w:jc w:val="both"/>
        <w:rPr>
          <w:sz w:val="22"/>
          <w:szCs w:val="22"/>
          <w:u w:val="single"/>
        </w:rPr>
      </w:pPr>
      <w:r>
        <w:rPr>
          <w:sz w:val="22"/>
          <w:szCs w:val="22"/>
          <w:u w:val="single"/>
        </w:rPr>
        <w:t>15 VAROVANJE OKOLJA INNARAVNE DEDIŠČINE</w:t>
      </w:r>
    </w:p>
    <w:p w:rsidR="005F478E" w:rsidRDefault="005F478E" w:rsidP="006F2AD5">
      <w:pPr>
        <w:jc w:val="both"/>
        <w:rPr>
          <w:sz w:val="22"/>
          <w:szCs w:val="22"/>
          <w:highlight w:val="yellow"/>
        </w:rPr>
      </w:pPr>
    </w:p>
    <w:p w:rsidR="00E07116" w:rsidRDefault="00E07116" w:rsidP="00E07116">
      <w:pPr>
        <w:jc w:val="both"/>
        <w:rPr>
          <w:b/>
          <w:sz w:val="22"/>
          <w:szCs w:val="22"/>
        </w:rPr>
      </w:pPr>
      <w:r>
        <w:rPr>
          <w:b/>
          <w:sz w:val="22"/>
          <w:szCs w:val="22"/>
        </w:rPr>
        <w:t>1524 – Projekt RCERO Ljubljana</w:t>
      </w:r>
    </w:p>
    <w:p w:rsidR="00E07116" w:rsidRPr="00E07116" w:rsidRDefault="00E07116" w:rsidP="00E07116">
      <w:pPr>
        <w:jc w:val="both"/>
        <w:rPr>
          <w:sz w:val="22"/>
          <w:szCs w:val="22"/>
        </w:rPr>
      </w:pPr>
      <w:r>
        <w:rPr>
          <w:sz w:val="22"/>
          <w:szCs w:val="22"/>
        </w:rPr>
        <w:t xml:space="preserve">Na proračunski postavki smo povečali sredstva za 103 € </w:t>
      </w:r>
      <w:r w:rsidR="002B4F6F">
        <w:rPr>
          <w:sz w:val="22"/>
          <w:szCs w:val="22"/>
        </w:rPr>
        <w:t>za sofinanciranje in nadgradnjo regijskega centra ravnaje z odpadki Ljubljana – RCERO.</w:t>
      </w:r>
    </w:p>
    <w:p w:rsidR="00E07116" w:rsidRDefault="00E07116" w:rsidP="006F2AD5">
      <w:pPr>
        <w:jc w:val="both"/>
        <w:rPr>
          <w:sz w:val="22"/>
          <w:szCs w:val="22"/>
          <w:highlight w:val="yellow"/>
        </w:rPr>
      </w:pPr>
    </w:p>
    <w:p w:rsidR="00E07116" w:rsidRPr="003D76A2" w:rsidRDefault="00E07116" w:rsidP="006F2AD5">
      <w:pPr>
        <w:jc w:val="both"/>
        <w:rPr>
          <w:sz w:val="22"/>
          <w:szCs w:val="22"/>
          <w:highlight w:val="yellow"/>
        </w:rPr>
      </w:pPr>
    </w:p>
    <w:p w:rsidR="004C32D1" w:rsidRPr="00086E1F" w:rsidRDefault="00086E1F" w:rsidP="004C32D1">
      <w:pPr>
        <w:jc w:val="both"/>
        <w:rPr>
          <w:b/>
          <w:sz w:val="22"/>
          <w:szCs w:val="22"/>
        </w:rPr>
      </w:pPr>
      <w:r>
        <w:rPr>
          <w:b/>
          <w:sz w:val="22"/>
          <w:szCs w:val="22"/>
        </w:rPr>
        <w:t>1535 – Izgradnja fekalne kanalizacije Pšata - Zalog</w:t>
      </w:r>
    </w:p>
    <w:p w:rsidR="001C3309" w:rsidRPr="00086E1F" w:rsidRDefault="001C3309" w:rsidP="001C3309">
      <w:pPr>
        <w:jc w:val="both"/>
        <w:rPr>
          <w:sz w:val="22"/>
          <w:szCs w:val="22"/>
        </w:rPr>
      </w:pPr>
      <w:r w:rsidRPr="001C3309">
        <w:rPr>
          <w:sz w:val="22"/>
          <w:szCs w:val="22"/>
        </w:rPr>
        <w:t>Sredstva se povečajo v vred</w:t>
      </w:r>
      <w:r w:rsidR="00440692">
        <w:rPr>
          <w:sz w:val="22"/>
          <w:szCs w:val="22"/>
        </w:rPr>
        <w:t>nosti 10.000 € za stroške načrtov in druge projektne dokumentacije</w:t>
      </w:r>
      <w:r w:rsidRPr="001C3309">
        <w:rPr>
          <w:sz w:val="22"/>
          <w:szCs w:val="22"/>
        </w:rPr>
        <w:t>. Za projekt so bile pridobljene ponudbe projektantskih podjetij</w:t>
      </w:r>
      <w:r w:rsidR="008713B3">
        <w:rPr>
          <w:sz w:val="22"/>
          <w:szCs w:val="22"/>
        </w:rPr>
        <w:t xml:space="preserve">, </w:t>
      </w:r>
      <w:r w:rsidRPr="001C3309">
        <w:rPr>
          <w:sz w:val="22"/>
          <w:szCs w:val="22"/>
        </w:rPr>
        <w:t>za izdelavo projekt</w:t>
      </w:r>
      <w:r w:rsidR="008713B3">
        <w:rPr>
          <w:sz w:val="22"/>
          <w:szCs w:val="22"/>
        </w:rPr>
        <w:t>a</w:t>
      </w:r>
      <w:r w:rsidRPr="001C3309">
        <w:rPr>
          <w:sz w:val="22"/>
          <w:szCs w:val="22"/>
        </w:rPr>
        <w:t xml:space="preserve"> manjkajoče fekalne kanalizacije v naseljih Pšata, Poženik in Šmartno.</w:t>
      </w:r>
    </w:p>
    <w:p w:rsidR="00075FE4" w:rsidRDefault="00075FE4" w:rsidP="00075FE4">
      <w:pPr>
        <w:jc w:val="both"/>
        <w:rPr>
          <w:b/>
          <w:sz w:val="22"/>
          <w:szCs w:val="22"/>
        </w:rPr>
      </w:pPr>
    </w:p>
    <w:p w:rsidR="00075FE4" w:rsidRPr="00086E1F" w:rsidRDefault="00075FE4" w:rsidP="00075FE4">
      <w:pPr>
        <w:jc w:val="both"/>
        <w:rPr>
          <w:b/>
          <w:sz w:val="22"/>
          <w:szCs w:val="22"/>
        </w:rPr>
      </w:pPr>
      <w:r>
        <w:rPr>
          <w:b/>
          <w:sz w:val="22"/>
          <w:szCs w:val="22"/>
        </w:rPr>
        <w:t>1537 – Kanalizacija Zalog – Cerkljanska Dobrava</w:t>
      </w:r>
    </w:p>
    <w:p w:rsidR="001C3309" w:rsidRDefault="001C3309" w:rsidP="001C3309">
      <w:pPr>
        <w:jc w:val="both"/>
        <w:rPr>
          <w:sz w:val="22"/>
          <w:szCs w:val="22"/>
        </w:rPr>
      </w:pPr>
      <w:r w:rsidRPr="001C3309">
        <w:rPr>
          <w:sz w:val="22"/>
          <w:szCs w:val="22"/>
        </w:rPr>
        <w:t>Sredstva se povečajo v vrednosti</w:t>
      </w:r>
      <w:r w:rsidR="00440692">
        <w:rPr>
          <w:sz w:val="22"/>
          <w:szCs w:val="22"/>
        </w:rPr>
        <w:t xml:space="preserve"> 10.000 € za stroške načrtov in druge projektne dokumentacije</w:t>
      </w:r>
      <w:r w:rsidRPr="001C3309">
        <w:rPr>
          <w:sz w:val="22"/>
          <w:szCs w:val="22"/>
        </w:rPr>
        <w:t xml:space="preserve">. Sredstva so bila v proračunu za leto 2017 planirana </w:t>
      </w:r>
      <w:r w:rsidR="00B904F7">
        <w:rPr>
          <w:sz w:val="22"/>
          <w:szCs w:val="22"/>
        </w:rPr>
        <w:t>samo</w:t>
      </w:r>
      <w:r w:rsidRPr="001C3309">
        <w:rPr>
          <w:sz w:val="22"/>
          <w:szCs w:val="22"/>
        </w:rPr>
        <w:t xml:space="preserve"> za izdelavo idejnega projekta, dodatno se planirajo sredstva za izdelavo projekta PGD in PZI.</w:t>
      </w:r>
    </w:p>
    <w:p w:rsidR="001C3309" w:rsidRPr="00075FE4" w:rsidRDefault="001C3309" w:rsidP="001C3309">
      <w:pPr>
        <w:jc w:val="both"/>
        <w:rPr>
          <w:sz w:val="22"/>
          <w:szCs w:val="22"/>
        </w:rPr>
      </w:pPr>
    </w:p>
    <w:p w:rsidR="004C32D1" w:rsidRPr="00075FE4" w:rsidRDefault="00075FE4" w:rsidP="004C32D1">
      <w:pPr>
        <w:jc w:val="both"/>
        <w:rPr>
          <w:b/>
          <w:sz w:val="22"/>
          <w:szCs w:val="22"/>
        </w:rPr>
      </w:pPr>
      <w:r>
        <w:rPr>
          <w:b/>
          <w:sz w:val="22"/>
          <w:szCs w:val="22"/>
        </w:rPr>
        <w:t>1541</w:t>
      </w:r>
      <w:r w:rsidR="004C32D1" w:rsidRPr="00075FE4">
        <w:rPr>
          <w:b/>
          <w:sz w:val="22"/>
          <w:szCs w:val="22"/>
        </w:rPr>
        <w:t xml:space="preserve"> – </w:t>
      </w:r>
      <w:r w:rsidR="00110826">
        <w:rPr>
          <w:b/>
          <w:sz w:val="22"/>
          <w:szCs w:val="22"/>
        </w:rPr>
        <w:t>Centralna</w:t>
      </w:r>
      <w:r>
        <w:rPr>
          <w:b/>
          <w:sz w:val="22"/>
          <w:szCs w:val="22"/>
        </w:rPr>
        <w:t xml:space="preserve"> čistilna naprava Domžale - Kamnik</w:t>
      </w:r>
    </w:p>
    <w:p w:rsidR="004C32D1" w:rsidRDefault="00075FE4" w:rsidP="004C32D1">
      <w:pPr>
        <w:jc w:val="both"/>
        <w:rPr>
          <w:sz w:val="22"/>
          <w:szCs w:val="22"/>
        </w:rPr>
      </w:pPr>
      <w:r>
        <w:rPr>
          <w:sz w:val="22"/>
          <w:szCs w:val="22"/>
        </w:rPr>
        <w:t>Pri izdelavi proračuna za leto 2017 še ni bil pripravljen letni načrt</w:t>
      </w:r>
      <w:r w:rsidR="00440692">
        <w:rPr>
          <w:sz w:val="22"/>
          <w:szCs w:val="22"/>
        </w:rPr>
        <w:t>ov</w:t>
      </w:r>
      <w:r>
        <w:rPr>
          <w:sz w:val="22"/>
          <w:szCs w:val="22"/>
        </w:rPr>
        <w:t xml:space="preserve"> investicijskih vzdrževalnih del in investicij v infras</w:t>
      </w:r>
      <w:r w:rsidR="00D02E71">
        <w:rPr>
          <w:sz w:val="22"/>
          <w:szCs w:val="22"/>
        </w:rPr>
        <w:t>trukturne obje</w:t>
      </w:r>
      <w:r w:rsidR="0041625E">
        <w:rPr>
          <w:sz w:val="22"/>
          <w:szCs w:val="22"/>
        </w:rPr>
        <w:t>k</w:t>
      </w:r>
      <w:r w:rsidR="00D02E71">
        <w:rPr>
          <w:sz w:val="22"/>
          <w:szCs w:val="22"/>
        </w:rPr>
        <w:t>te in naprave CČN</w:t>
      </w:r>
      <w:r>
        <w:rPr>
          <w:sz w:val="22"/>
          <w:szCs w:val="22"/>
        </w:rPr>
        <w:t xml:space="preserve"> Domžale </w:t>
      </w:r>
      <w:r w:rsidR="00D02E71">
        <w:rPr>
          <w:sz w:val="22"/>
          <w:szCs w:val="22"/>
        </w:rPr>
        <w:t>–</w:t>
      </w:r>
      <w:r>
        <w:rPr>
          <w:sz w:val="22"/>
          <w:szCs w:val="22"/>
        </w:rPr>
        <w:t xml:space="preserve"> Kamnik</w:t>
      </w:r>
      <w:r w:rsidR="00D02E71">
        <w:rPr>
          <w:sz w:val="22"/>
          <w:szCs w:val="22"/>
        </w:rPr>
        <w:t>. Občina je na podlagi letnega  načrta JP Centralna čistilna naprava Domžale – Kamnik d.o.o., rezervirala dodatnih 50.000 €. Investicije so razvidne tudi v načrtu razvojnih programov pod številko OB</w:t>
      </w:r>
      <w:r w:rsidR="00110826">
        <w:rPr>
          <w:sz w:val="22"/>
          <w:szCs w:val="22"/>
        </w:rPr>
        <w:t>01</w:t>
      </w:r>
      <w:r w:rsidR="00D02E71">
        <w:rPr>
          <w:sz w:val="22"/>
          <w:szCs w:val="22"/>
        </w:rPr>
        <w:t>2-17-0010.</w:t>
      </w:r>
    </w:p>
    <w:p w:rsidR="00D02E71" w:rsidRPr="00075FE4" w:rsidRDefault="00D02E71" w:rsidP="004C32D1">
      <w:pPr>
        <w:jc w:val="both"/>
        <w:rPr>
          <w:sz w:val="22"/>
          <w:szCs w:val="22"/>
        </w:rPr>
      </w:pPr>
    </w:p>
    <w:p w:rsidR="00D02E71" w:rsidRPr="00086E1F" w:rsidRDefault="00D02E71" w:rsidP="00D02E71">
      <w:pPr>
        <w:jc w:val="both"/>
        <w:rPr>
          <w:b/>
          <w:sz w:val="22"/>
          <w:szCs w:val="22"/>
        </w:rPr>
      </w:pPr>
      <w:r>
        <w:rPr>
          <w:b/>
          <w:sz w:val="22"/>
          <w:szCs w:val="22"/>
        </w:rPr>
        <w:t>1553 – Kanalizacija Zalog</w:t>
      </w:r>
    </w:p>
    <w:p w:rsidR="001C3309" w:rsidRPr="00086E1F" w:rsidRDefault="001C3309" w:rsidP="001C3309">
      <w:pPr>
        <w:jc w:val="both"/>
        <w:rPr>
          <w:sz w:val="22"/>
          <w:szCs w:val="22"/>
        </w:rPr>
      </w:pPr>
      <w:r w:rsidRPr="001C3309">
        <w:rPr>
          <w:sz w:val="22"/>
          <w:szCs w:val="22"/>
        </w:rPr>
        <w:t>Sredstva se povečajo v vrednosti 10.000 € za stroške najemnin in zakupnin. Med projektiranjem fekalnega kanala</w:t>
      </w:r>
      <w:r>
        <w:rPr>
          <w:sz w:val="22"/>
          <w:szCs w:val="22"/>
        </w:rPr>
        <w:t>,</w:t>
      </w:r>
      <w:r w:rsidRPr="001C3309">
        <w:rPr>
          <w:sz w:val="22"/>
          <w:szCs w:val="22"/>
        </w:rPr>
        <w:t xml:space="preserve"> je bila spremenjena trasa kanalizacije zaradi ukinitve črpališča (zmanj</w:t>
      </w:r>
      <w:r>
        <w:rPr>
          <w:sz w:val="22"/>
          <w:szCs w:val="22"/>
        </w:rPr>
        <w:t xml:space="preserve">šanje obratovalnih stroškov), </w:t>
      </w:r>
      <w:r w:rsidRPr="001C3309">
        <w:rPr>
          <w:sz w:val="22"/>
          <w:szCs w:val="22"/>
        </w:rPr>
        <w:t xml:space="preserve">v spremenjenem projektu poteka kanal po zemljiščih v lasti fizičnih oseb zato </w:t>
      </w:r>
      <w:r>
        <w:rPr>
          <w:sz w:val="22"/>
          <w:szCs w:val="22"/>
        </w:rPr>
        <w:t xml:space="preserve">bo </w:t>
      </w:r>
      <w:r w:rsidRPr="001C3309">
        <w:rPr>
          <w:sz w:val="22"/>
          <w:szCs w:val="22"/>
        </w:rPr>
        <w:t>potrebno plačati odškodnino.</w:t>
      </w:r>
    </w:p>
    <w:p w:rsidR="001C3309" w:rsidRDefault="001C3309" w:rsidP="001C3309">
      <w:pPr>
        <w:jc w:val="both"/>
        <w:rPr>
          <w:sz w:val="22"/>
          <w:szCs w:val="22"/>
        </w:rPr>
      </w:pPr>
    </w:p>
    <w:p w:rsidR="002C7C69" w:rsidRDefault="002C7C69" w:rsidP="002C7C69">
      <w:pPr>
        <w:jc w:val="both"/>
        <w:rPr>
          <w:b/>
          <w:sz w:val="22"/>
          <w:szCs w:val="22"/>
        </w:rPr>
      </w:pPr>
      <w:r>
        <w:rPr>
          <w:b/>
          <w:sz w:val="22"/>
          <w:szCs w:val="22"/>
        </w:rPr>
        <w:t>1554 – Kanalizacija Cerklje zahod</w:t>
      </w:r>
    </w:p>
    <w:p w:rsidR="004E1254" w:rsidRDefault="002C7C69" w:rsidP="00EA0DB0">
      <w:pPr>
        <w:jc w:val="both"/>
        <w:rPr>
          <w:sz w:val="22"/>
          <w:szCs w:val="22"/>
        </w:rPr>
      </w:pPr>
      <w:r>
        <w:rPr>
          <w:sz w:val="22"/>
          <w:szCs w:val="22"/>
        </w:rPr>
        <w:t>Proračuns</w:t>
      </w:r>
      <w:r w:rsidR="008713B3">
        <w:rPr>
          <w:sz w:val="22"/>
          <w:szCs w:val="22"/>
        </w:rPr>
        <w:t xml:space="preserve">ka postavka se poveča za 8.000 </w:t>
      </w:r>
      <w:r>
        <w:rPr>
          <w:sz w:val="22"/>
          <w:szCs w:val="22"/>
        </w:rPr>
        <w:t>€, za stroške revizijskih storitev povezanih z javnimi naročili.</w:t>
      </w:r>
    </w:p>
    <w:p w:rsidR="002C7C69" w:rsidRDefault="002C7C69" w:rsidP="004E1254">
      <w:pPr>
        <w:jc w:val="both"/>
        <w:rPr>
          <w:b/>
          <w:sz w:val="22"/>
          <w:szCs w:val="22"/>
        </w:rPr>
      </w:pPr>
    </w:p>
    <w:p w:rsidR="004E1254" w:rsidRDefault="002A4114" w:rsidP="004E1254">
      <w:pPr>
        <w:jc w:val="both"/>
        <w:rPr>
          <w:b/>
          <w:sz w:val="22"/>
          <w:szCs w:val="22"/>
        </w:rPr>
      </w:pPr>
      <w:r>
        <w:rPr>
          <w:b/>
          <w:sz w:val="22"/>
          <w:szCs w:val="22"/>
        </w:rPr>
        <w:t>1556</w:t>
      </w:r>
      <w:r w:rsidR="004E1254">
        <w:rPr>
          <w:b/>
          <w:sz w:val="22"/>
          <w:szCs w:val="22"/>
        </w:rPr>
        <w:t xml:space="preserve"> – </w:t>
      </w:r>
      <w:r>
        <w:rPr>
          <w:b/>
          <w:sz w:val="22"/>
          <w:szCs w:val="22"/>
        </w:rPr>
        <w:t xml:space="preserve">Fekalni kanal od ČN </w:t>
      </w:r>
      <w:r w:rsidR="00285154">
        <w:rPr>
          <w:b/>
          <w:sz w:val="22"/>
          <w:szCs w:val="22"/>
        </w:rPr>
        <w:t>–</w:t>
      </w:r>
      <w:r>
        <w:rPr>
          <w:b/>
          <w:sz w:val="22"/>
          <w:szCs w:val="22"/>
        </w:rPr>
        <w:t xml:space="preserve"> Dvorje</w:t>
      </w:r>
    </w:p>
    <w:p w:rsidR="00285154" w:rsidRPr="00285154" w:rsidRDefault="00607193" w:rsidP="004E1254">
      <w:pPr>
        <w:jc w:val="both"/>
        <w:rPr>
          <w:sz w:val="22"/>
          <w:szCs w:val="22"/>
        </w:rPr>
      </w:pPr>
      <w:r>
        <w:rPr>
          <w:sz w:val="22"/>
          <w:szCs w:val="22"/>
        </w:rPr>
        <w:t>Za projekt Fekalni kanal od ČN – Dvorje, se v proračunu zagotovijo sredstva v vrednosti</w:t>
      </w:r>
      <w:r w:rsidR="00285154">
        <w:rPr>
          <w:sz w:val="22"/>
          <w:szCs w:val="22"/>
        </w:rPr>
        <w:t xml:space="preserve"> 70.000 € za investicije in 10.000 € za stroške najemnin in z</w:t>
      </w:r>
      <w:r>
        <w:rPr>
          <w:sz w:val="22"/>
          <w:szCs w:val="22"/>
        </w:rPr>
        <w:t>akupnin. Investicija je dodana</w:t>
      </w:r>
      <w:r w:rsidR="00285154">
        <w:rPr>
          <w:sz w:val="22"/>
          <w:szCs w:val="22"/>
        </w:rPr>
        <w:t xml:space="preserve"> v načrt razvojnih programov za leto 2017 pod številko OB12-17-003.</w:t>
      </w:r>
      <w:r w:rsidR="0041625E">
        <w:rPr>
          <w:sz w:val="22"/>
          <w:szCs w:val="22"/>
        </w:rPr>
        <w:t xml:space="preserve"> </w:t>
      </w:r>
    </w:p>
    <w:p w:rsidR="002A4114" w:rsidRDefault="002A4114" w:rsidP="002A4114">
      <w:pPr>
        <w:jc w:val="both"/>
        <w:rPr>
          <w:b/>
          <w:sz w:val="22"/>
          <w:szCs w:val="22"/>
        </w:rPr>
      </w:pPr>
    </w:p>
    <w:p w:rsidR="002A4114" w:rsidRDefault="002A4114" w:rsidP="002A4114">
      <w:pPr>
        <w:jc w:val="both"/>
        <w:rPr>
          <w:b/>
          <w:sz w:val="22"/>
          <w:szCs w:val="22"/>
        </w:rPr>
      </w:pPr>
      <w:r>
        <w:rPr>
          <w:b/>
          <w:sz w:val="22"/>
          <w:szCs w:val="22"/>
        </w:rPr>
        <w:t>1557 – Kanalizacija rondo Praprotna Polica</w:t>
      </w:r>
    </w:p>
    <w:p w:rsidR="00607193" w:rsidRDefault="00607193" w:rsidP="002A4114">
      <w:pPr>
        <w:jc w:val="both"/>
        <w:rPr>
          <w:sz w:val="22"/>
          <w:szCs w:val="22"/>
        </w:rPr>
      </w:pPr>
      <w:r>
        <w:rPr>
          <w:sz w:val="22"/>
          <w:szCs w:val="22"/>
        </w:rPr>
        <w:t>Za</w:t>
      </w:r>
      <w:r w:rsidR="00285154">
        <w:rPr>
          <w:sz w:val="22"/>
          <w:szCs w:val="22"/>
        </w:rPr>
        <w:t xml:space="preserve"> investicijo Kanalizacija rondo Praprotna Polica</w:t>
      </w:r>
      <w:r>
        <w:rPr>
          <w:sz w:val="22"/>
          <w:szCs w:val="22"/>
        </w:rPr>
        <w:t>, se v proračunu zagotovijo sredstva v</w:t>
      </w:r>
      <w:r w:rsidR="00285154">
        <w:rPr>
          <w:sz w:val="22"/>
          <w:szCs w:val="22"/>
        </w:rPr>
        <w:t xml:space="preserve"> </w:t>
      </w:r>
      <w:r>
        <w:rPr>
          <w:sz w:val="22"/>
          <w:szCs w:val="22"/>
        </w:rPr>
        <w:t xml:space="preserve">vrednosti </w:t>
      </w:r>
      <w:r w:rsidR="00285154">
        <w:rPr>
          <w:sz w:val="22"/>
          <w:szCs w:val="22"/>
        </w:rPr>
        <w:t>22.000 €. Investicija je dodana v načrt razvojnih programov pod številko OB12-17-002.</w:t>
      </w:r>
      <w:r w:rsidR="0041625E">
        <w:rPr>
          <w:sz w:val="22"/>
          <w:szCs w:val="22"/>
        </w:rPr>
        <w:t xml:space="preserve"> </w:t>
      </w:r>
      <w:r w:rsidR="00285154">
        <w:rPr>
          <w:sz w:val="22"/>
          <w:szCs w:val="22"/>
        </w:rPr>
        <w:t xml:space="preserve"> </w:t>
      </w:r>
    </w:p>
    <w:p w:rsidR="00607193" w:rsidRDefault="00607193" w:rsidP="002A4114">
      <w:pPr>
        <w:jc w:val="both"/>
        <w:rPr>
          <w:sz w:val="22"/>
          <w:szCs w:val="22"/>
        </w:rPr>
      </w:pPr>
    </w:p>
    <w:p w:rsidR="002A4114" w:rsidRDefault="00AD44CC" w:rsidP="002A4114">
      <w:pPr>
        <w:jc w:val="both"/>
        <w:rPr>
          <w:b/>
          <w:sz w:val="22"/>
          <w:szCs w:val="22"/>
        </w:rPr>
      </w:pPr>
      <w:r>
        <w:rPr>
          <w:b/>
          <w:sz w:val="22"/>
          <w:szCs w:val="22"/>
        </w:rPr>
        <w:t>1558 – Fekalni kanal l</w:t>
      </w:r>
      <w:r w:rsidR="002A4114">
        <w:rPr>
          <w:b/>
          <w:sz w:val="22"/>
          <w:szCs w:val="22"/>
        </w:rPr>
        <w:t>etališče – Sp. Brnik</w:t>
      </w:r>
    </w:p>
    <w:p w:rsidR="00285154" w:rsidRPr="00285154" w:rsidRDefault="00607193" w:rsidP="002A4114">
      <w:pPr>
        <w:jc w:val="both"/>
        <w:rPr>
          <w:sz w:val="22"/>
          <w:szCs w:val="22"/>
        </w:rPr>
      </w:pPr>
      <w:r>
        <w:rPr>
          <w:sz w:val="22"/>
          <w:szCs w:val="22"/>
        </w:rPr>
        <w:t>Za  odkup Fekalnega kanala Letališče – Sp. Brnik se v proračunu zagotovijo sredstva, v vrednosti 400.000 €.  I</w:t>
      </w:r>
      <w:r w:rsidR="00285154">
        <w:rPr>
          <w:sz w:val="22"/>
          <w:szCs w:val="22"/>
        </w:rPr>
        <w:t>nvesticija je dodana v načrt razvojnih programov pod številko OB12-17-008.</w:t>
      </w:r>
    </w:p>
    <w:p w:rsidR="002A4114" w:rsidRDefault="002A4114" w:rsidP="002A4114">
      <w:pPr>
        <w:jc w:val="both"/>
        <w:rPr>
          <w:b/>
          <w:sz w:val="22"/>
          <w:szCs w:val="22"/>
        </w:rPr>
      </w:pPr>
    </w:p>
    <w:p w:rsidR="002A4114" w:rsidRDefault="002A4114" w:rsidP="002A4114">
      <w:pPr>
        <w:jc w:val="both"/>
        <w:rPr>
          <w:b/>
          <w:sz w:val="22"/>
          <w:szCs w:val="22"/>
        </w:rPr>
      </w:pPr>
      <w:r>
        <w:rPr>
          <w:b/>
          <w:sz w:val="22"/>
          <w:szCs w:val="22"/>
        </w:rPr>
        <w:t>1559 – Kanalizacija Cerklje Center</w:t>
      </w:r>
    </w:p>
    <w:p w:rsidR="00285154" w:rsidRPr="00285154" w:rsidRDefault="00607193" w:rsidP="002A4114">
      <w:pPr>
        <w:jc w:val="both"/>
        <w:rPr>
          <w:sz w:val="22"/>
          <w:szCs w:val="22"/>
        </w:rPr>
      </w:pPr>
      <w:r>
        <w:rPr>
          <w:sz w:val="22"/>
          <w:szCs w:val="22"/>
        </w:rPr>
        <w:t>Z</w:t>
      </w:r>
      <w:r w:rsidR="00285154">
        <w:rPr>
          <w:sz w:val="22"/>
          <w:szCs w:val="22"/>
        </w:rPr>
        <w:t>a investicijo Kanalizacija Cerklje Center</w:t>
      </w:r>
      <w:r>
        <w:rPr>
          <w:sz w:val="22"/>
          <w:szCs w:val="22"/>
        </w:rPr>
        <w:t xml:space="preserve"> smo v proračunu rezervirali sredstva v vrednosti</w:t>
      </w:r>
      <w:r w:rsidR="001507D6">
        <w:rPr>
          <w:sz w:val="22"/>
          <w:szCs w:val="22"/>
        </w:rPr>
        <w:t xml:space="preserve"> 15.5</w:t>
      </w:r>
      <w:r w:rsidR="00285154">
        <w:rPr>
          <w:sz w:val="22"/>
          <w:szCs w:val="22"/>
        </w:rPr>
        <w:t>00 €</w:t>
      </w:r>
      <w:r>
        <w:rPr>
          <w:sz w:val="22"/>
          <w:szCs w:val="22"/>
        </w:rPr>
        <w:t>,</w:t>
      </w:r>
      <w:r w:rsidR="00285154">
        <w:rPr>
          <w:sz w:val="22"/>
          <w:szCs w:val="22"/>
        </w:rPr>
        <w:t xml:space="preserve"> za stroške načrtov in drugo projektno dokumentacijo. Investicija je dodana v načrt razvojnih programov pod številko OB12-17-005.</w:t>
      </w:r>
      <w:r w:rsidR="0041625E">
        <w:rPr>
          <w:sz w:val="22"/>
          <w:szCs w:val="22"/>
        </w:rPr>
        <w:t xml:space="preserve"> Pri pripravi proračuna za leto 20</w:t>
      </w:r>
      <w:r w:rsidR="002A7A89">
        <w:rPr>
          <w:sz w:val="22"/>
          <w:szCs w:val="22"/>
        </w:rPr>
        <w:t>17 stroški še niso bili znani</w:t>
      </w:r>
      <w:r w:rsidR="0041625E">
        <w:rPr>
          <w:sz w:val="22"/>
          <w:szCs w:val="22"/>
        </w:rPr>
        <w:t>.</w:t>
      </w:r>
    </w:p>
    <w:p w:rsidR="002A4114" w:rsidRDefault="002A4114" w:rsidP="002A4114">
      <w:pPr>
        <w:jc w:val="both"/>
        <w:rPr>
          <w:b/>
          <w:sz w:val="22"/>
          <w:szCs w:val="22"/>
        </w:rPr>
      </w:pPr>
    </w:p>
    <w:p w:rsidR="002A4114" w:rsidRDefault="002A4114" w:rsidP="002A4114">
      <w:pPr>
        <w:jc w:val="both"/>
        <w:rPr>
          <w:b/>
          <w:sz w:val="22"/>
          <w:szCs w:val="22"/>
        </w:rPr>
      </w:pPr>
      <w:r>
        <w:rPr>
          <w:b/>
          <w:sz w:val="22"/>
          <w:szCs w:val="22"/>
        </w:rPr>
        <w:t>1540 – Urejanje voda</w:t>
      </w:r>
    </w:p>
    <w:p w:rsidR="00B904F7" w:rsidRPr="000C0B96" w:rsidRDefault="00B904F7" w:rsidP="00B904F7">
      <w:pPr>
        <w:jc w:val="both"/>
        <w:rPr>
          <w:sz w:val="22"/>
          <w:szCs w:val="22"/>
        </w:rPr>
      </w:pPr>
      <w:r w:rsidRPr="00B904F7">
        <w:rPr>
          <w:sz w:val="22"/>
          <w:szCs w:val="22"/>
        </w:rPr>
        <w:t>Občina ocenjuje, da na proračunski postavki potrebuje dodatnih 210.000 € za investicijo v Velesovem</w:t>
      </w:r>
      <w:r w:rsidR="00F35109">
        <w:rPr>
          <w:sz w:val="22"/>
          <w:szCs w:val="22"/>
        </w:rPr>
        <w:t>,  za</w:t>
      </w:r>
      <w:r w:rsidRPr="00B904F7">
        <w:rPr>
          <w:sz w:val="22"/>
          <w:szCs w:val="22"/>
        </w:rPr>
        <w:t xml:space="preserve"> sofinanciranje ureditve </w:t>
      </w:r>
      <w:r w:rsidR="00A22F69">
        <w:rPr>
          <w:sz w:val="22"/>
          <w:szCs w:val="22"/>
        </w:rPr>
        <w:t>in sanacijo</w:t>
      </w:r>
      <w:r w:rsidRPr="00B904F7">
        <w:rPr>
          <w:sz w:val="22"/>
          <w:szCs w:val="22"/>
        </w:rPr>
        <w:t xml:space="preserve"> struge potoka Reka in Pšata. Investicija je dodana v načrt razvojnih programov pod številko OB12-15-008.</w:t>
      </w:r>
    </w:p>
    <w:p w:rsidR="00E47862" w:rsidRPr="003D76A2" w:rsidRDefault="00362D74" w:rsidP="00EA0DB0">
      <w:pPr>
        <w:jc w:val="both"/>
        <w:rPr>
          <w:sz w:val="22"/>
          <w:szCs w:val="22"/>
          <w:highlight w:val="yellow"/>
        </w:rPr>
      </w:pPr>
      <w:r>
        <w:rPr>
          <w:sz w:val="22"/>
          <w:szCs w:val="22"/>
          <w:highlight w:val="yellow"/>
        </w:rPr>
        <w:t xml:space="preserve"> </w:t>
      </w:r>
    </w:p>
    <w:p w:rsidR="00E47862" w:rsidRPr="007B68A4" w:rsidRDefault="00781FD7" w:rsidP="00EA0DB0">
      <w:pPr>
        <w:jc w:val="both"/>
        <w:rPr>
          <w:sz w:val="22"/>
          <w:szCs w:val="22"/>
          <w:u w:val="single"/>
        </w:rPr>
      </w:pPr>
      <w:r w:rsidRPr="007B68A4">
        <w:rPr>
          <w:sz w:val="22"/>
          <w:szCs w:val="22"/>
          <w:u w:val="single"/>
        </w:rPr>
        <w:t>16 PROSTORSKO PLANIRANJE IN STANOVANJSKO KOMUNALNA DEJAVNOST</w:t>
      </w:r>
    </w:p>
    <w:p w:rsidR="00E47862" w:rsidRPr="007B68A4" w:rsidRDefault="001F772E" w:rsidP="001F772E">
      <w:pPr>
        <w:tabs>
          <w:tab w:val="left" w:pos="2175"/>
        </w:tabs>
        <w:jc w:val="both"/>
        <w:rPr>
          <w:sz w:val="22"/>
          <w:szCs w:val="22"/>
        </w:rPr>
      </w:pPr>
      <w:r w:rsidRPr="007B68A4">
        <w:rPr>
          <w:sz w:val="22"/>
          <w:szCs w:val="22"/>
        </w:rPr>
        <w:tab/>
      </w:r>
    </w:p>
    <w:p w:rsidR="003A3C62" w:rsidRPr="007B68A4" w:rsidRDefault="007B68A4" w:rsidP="00EA0DB0">
      <w:pPr>
        <w:jc w:val="both"/>
        <w:rPr>
          <w:b/>
          <w:sz w:val="22"/>
          <w:szCs w:val="22"/>
        </w:rPr>
      </w:pPr>
      <w:r>
        <w:rPr>
          <w:b/>
          <w:sz w:val="22"/>
          <w:szCs w:val="22"/>
        </w:rPr>
        <w:t>1621</w:t>
      </w:r>
      <w:r w:rsidR="001F772E" w:rsidRPr="007B68A4">
        <w:rPr>
          <w:b/>
          <w:sz w:val="22"/>
          <w:szCs w:val="22"/>
        </w:rPr>
        <w:t xml:space="preserve">-  </w:t>
      </w:r>
      <w:r>
        <w:rPr>
          <w:b/>
          <w:sz w:val="22"/>
          <w:szCs w:val="22"/>
        </w:rPr>
        <w:t>Občinski prostorski načrt</w:t>
      </w:r>
    </w:p>
    <w:p w:rsidR="001F772E" w:rsidRDefault="0041625E" w:rsidP="00EA0DB0">
      <w:pPr>
        <w:jc w:val="both"/>
        <w:rPr>
          <w:sz w:val="22"/>
          <w:szCs w:val="22"/>
        </w:rPr>
      </w:pPr>
      <w:r w:rsidRPr="0041625E">
        <w:rPr>
          <w:sz w:val="22"/>
          <w:szCs w:val="22"/>
        </w:rPr>
        <w:t>Sredstva</w:t>
      </w:r>
      <w:r>
        <w:rPr>
          <w:sz w:val="22"/>
          <w:szCs w:val="22"/>
        </w:rPr>
        <w:t xml:space="preserve"> v vrednosti 40.000 €</w:t>
      </w:r>
      <w:r w:rsidRPr="0041625E">
        <w:rPr>
          <w:sz w:val="22"/>
          <w:szCs w:val="22"/>
        </w:rPr>
        <w:t xml:space="preserve"> se povečajo za potrebe priprave spremembe in dopolnitve Občinskega prostorskega načrta Občine Cerklje (SD OPN)</w:t>
      </w:r>
      <w:r>
        <w:rPr>
          <w:sz w:val="22"/>
          <w:szCs w:val="22"/>
        </w:rPr>
        <w:t>,</w:t>
      </w:r>
      <w:r w:rsidRPr="0041625E">
        <w:rPr>
          <w:sz w:val="22"/>
          <w:szCs w:val="22"/>
        </w:rPr>
        <w:t xml:space="preserve"> za potrebe umestitve novega krožišča na državni cesti v Lahovčah in na lokalni cesti na Trati pri Velesovem, v prostorski akt. Ob tem bo potrebna priprava natančne prometne študije in drugih strokovnih podlag in analiz. Zaradi novih investicij v komunalno opremo in sprememb prostorskih aktov bo potrebno novelirati dva programa opremljanja. Potrebno je izdelati poplavne študije za posamezna območja v občini, kjer je izkazuje poplavna ogroženost. V postopku priprave prostorskih aktov je potrebno izdelati tudi druge strokovne podlage, ki jih zahtevajo nosilci urejanja prostora (varstvo narave in kulturne dediščine, varstvo pred poplavami, kmetijski elaborati,</w:t>
      </w:r>
    </w:p>
    <w:p w:rsidR="0041625E" w:rsidRDefault="0041625E" w:rsidP="00EA0DB0">
      <w:pPr>
        <w:jc w:val="both"/>
        <w:rPr>
          <w:sz w:val="22"/>
          <w:szCs w:val="22"/>
          <w:highlight w:val="yellow"/>
        </w:rPr>
      </w:pPr>
    </w:p>
    <w:p w:rsidR="00AD44CC" w:rsidRDefault="00AD44CC" w:rsidP="00AD44CC">
      <w:pPr>
        <w:jc w:val="both"/>
        <w:rPr>
          <w:b/>
          <w:sz w:val="22"/>
          <w:szCs w:val="22"/>
        </w:rPr>
      </w:pPr>
      <w:r>
        <w:rPr>
          <w:b/>
          <w:sz w:val="22"/>
          <w:szCs w:val="22"/>
        </w:rPr>
        <w:t>1642</w:t>
      </w:r>
      <w:r w:rsidRPr="0041625E">
        <w:rPr>
          <w:b/>
          <w:sz w:val="22"/>
          <w:szCs w:val="22"/>
        </w:rPr>
        <w:t xml:space="preserve"> – </w:t>
      </w:r>
      <w:r>
        <w:rPr>
          <w:b/>
          <w:sz w:val="22"/>
          <w:szCs w:val="22"/>
        </w:rPr>
        <w:t>Vodovod letališče – Velesovo</w:t>
      </w:r>
    </w:p>
    <w:p w:rsidR="0051318D" w:rsidRDefault="0051318D" w:rsidP="0051318D">
      <w:pPr>
        <w:jc w:val="both"/>
        <w:rPr>
          <w:sz w:val="22"/>
          <w:szCs w:val="22"/>
        </w:rPr>
      </w:pPr>
      <w:r>
        <w:rPr>
          <w:sz w:val="22"/>
          <w:szCs w:val="22"/>
        </w:rPr>
        <w:t>Na proračunski postavki vodovod letališče – Velesovo se je po oceni vrednost investicije</w:t>
      </w:r>
      <w:r w:rsidR="006237E6">
        <w:rPr>
          <w:sz w:val="22"/>
          <w:szCs w:val="22"/>
        </w:rPr>
        <w:t xml:space="preserve"> za leto 2017</w:t>
      </w:r>
      <w:r>
        <w:rPr>
          <w:sz w:val="22"/>
          <w:szCs w:val="22"/>
        </w:rPr>
        <w:t xml:space="preserve"> zmanjšala za </w:t>
      </w:r>
      <w:r w:rsidR="00AD74EC">
        <w:rPr>
          <w:sz w:val="22"/>
          <w:szCs w:val="22"/>
        </w:rPr>
        <w:t>192.963</w:t>
      </w:r>
      <w:r>
        <w:rPr>
          <w:sz w:val="22"/>
          <w:szCs w:val="22"/>
        </w:rPr>
        <w:t xml:space="preserve"> €.</w:t>
      </w:r>
    </w:p>
    <w:p w:rsidR="0051318D" w:rsidRPr="00AD44CC" w:rsidRDefault="0051318D" w:rsidP="0051318D">
      <w:pPr>
        <w:jc w:val="both"/>
        <w:rPr>
          <w:sz w:val="22"/>
          <w:szCs w:val="22"/>
        </w:rPr>
      </w:pPr>
      <w:r w:rsidRPr="0051318D">
        <w:rPr>
          <w:sz w:val="22"/>
          <w:szCs w:val="22"/>
        </w:rPr>
        <w:t>Vodovod Letališče – Velesovo je po osnovni investicije vključevalo 4 faze, katerih p</w:t>
      </w:r>
      <w:r w:rsidR="006237E6">
        <w:rPr>
          <w:sz w:val="22"/>
          <w:szCs w:val="22"/>
        </w:rPr>
        <w:t>rojektantska ocena je znašala 75</w:t>
      </w:r>
      <w:r w:rsidRPr="0051318D">
        <w:rPr>
          <w:sz w:val="22"/>
          <w:szCs w:val="22"/>
        </w:rPr>
        <w:t xml:space="preserve">0.000,00 €. K investiciji je potrebno vključiti še stroške investicijskega nadzora in načrte in drugo projektno dokumentacijo. Glede na to, da se je iz osnovnega projekta izključila 1. faza (ustvarjena nova proračunska postavka 1644 – vodovod rondo Praprotna Polica) in zaradi pridobljenih ponudb nižje vrednosti, se sredstva na tej postavki zmanjšajo v višini </w:t>
      </w:r>
      <w:r w:rsidR="00AD74EC">
        <w:rPr>
          <w:sz w:val="22"/>
          <w:szCs w:val="22"/>
        </w:rPr>
        <w:t>192.963</w:t>
      </w:r>
      <w:r w:rsidRPr="0051318D">
        <w:rPr>
          <w:sz w:val="22"/>
          <w:szCs w:val="22"/>
        </w:rPr>
        <w:t xml:space="preserve"> €. Investicijo sofinancira MGRT (skladno z določbami 23. člena ZFO-1)</w:t>
      </w:r>
    </w:p>
    <w:p w:rsidR="00AD44CC" w:rsidRDefault="00AD44CC" w:rsidP="00EA0DB0">
      <w:pPr>
        <w:jc w:val="both"/>
        <w:rPr>
          <w:sz w:val="22"/>
          <w:szCs w:val="22"/>
          <w:highlight w:val="yellow"/>
        </w:rPr>
      </w:pPr>
    </w:p>
    <w:p w:rsidR="0041625E" w:rsidRPr="0041625E" w:rsidRDefault="0041625E" w:rsidP="0041625E">
      <w:pPr>
        <w:jc w:val="both"/>
        <w:rPr>
          <w:b/>
          <w:sz w:val="22"/>
          <w:szCs w:val="22"/>
        </w:rPr>
      </w:pPr>
      <w:r>
        <w:rPr>
          <w:b/>
          <w:sz w:val="22"/>
          <w:szCs w:val="22"/>
        </w:rPr>
        <w:t>1643</w:t>
      </w:r>
      <w:r w:rsidRPr="0041625E">
        <w:rPr>
          <w:b/>
          <w:sz w:val="22"/>
          <w:szCs w:val="22"/>
        </w:rPr>
        <w:t xml:space="preserve"> – </w:t>
      </w:r>
      <w:r>
        <w:rPr>
          <w:b/>
          <w:sz w:val="22"/>
          <w:szCs w:val="22"/>
        </w:rPr>
        <w:t>Vodovod Zg. Brnik - Rondo</w:t>
      </w:r>
    </w:p>
    <w:p w:rsidR="007B7AB7" w:rsidRDefault="007B7AB7" w:rsidP="007B7AB7">
      <w:pPr>
        <w:jc w:val="both"/>
        <w:rPr>
          <w:sz w:val="22"/>
          <w:szCs w:val="22"/>
        </w:rPr>
      </w:pPr>
      <w:r w:rsidRPr="007B7AB7">
        <w:rPr>
          <w:sz w:val="22"/>
          <w:szCs w:val="22"/>
        </w:rPr>
        <w:t>Sredstva na postavki se povečajo za 1.500 € za načrte in drugo projektno dokumentacijo. Sredstva v proračunu za leto 2017 se planirajo dodatno za navezavo vodovoda na novo zgrajeni vodovod v krožišču Zgornji Brnik.</w:t>
      </w:r>
    </w:p>
    <w:p w:rsidR="0041625E" w:rsidRDefault="0041625E" w:rsidP="0041625E">
      <w:pPr>
        <w:jc w:val="both"/>
        <w:rPr>
          <w:sz w:val="22"/>
          <w:szCs w:val="22"/>
          <w:highlight w:val="yellow"/>
        </w:rPr>
      </w:pPr>
    </w:p>
    <w:p w:rsidR="0041625E" w:rsidRPr="0041625E" w:rsidRDefault="0041625E" w:rsidP="0041625E">
      <w:pPr>
        <w:jc w:val="both"/>
        <w:rPr>
          <w:b/>
          <w:sz w:val="22"/>
          <w:szCs w:val="22"/>
        </w:rPr>
      </w:pPr>
      <w:r>
        <w:rPr>
          <w:b/>
          <w:sz w:val="22"/>
          <w:szCs w:val="22"/>
        </w:rPr>
        <w:t>1644</w:t>
      </w:r>
      <w:r w:rsidRPr="0041625E">
        <w:rPr>
          <w:b/>
          <w:sz w:val="22"/>
          <w:szCs w:val="22"/>
        </w:rPr>
        <w:t xml:space="preserve"> – </w:t>
      </w:r>
      <w:r>
        <w:rPr>
          <w:b/>
          <w:sz w:val="22"/>
          <w:szCs w:val="22"/>
        </w:rPr>
        <w:t>Vodovod rondo Praprotna Polica</w:t>
      </w:r>
    </w:p>
    <w:p w:rsidR="00A22F69" w:rsidRDefault="008121F8" w:rsidP="00A22F69">
      <w:pPr>
        <w:jc w:val="both"/>
        <w:rPr>
          <w:sz w:val="22"/>
          <w:szCs w:val="22"/>
        </w:rPr>
      </w:pPr>
      <w:r>
        <w:rPr>
          <w:sz w:val="22"/>
          <w:szCs w:val="22"/>
        </w:rPr>
        <w:t xml:space="preserve">Ocenjuje se, </w:t>
      </w:r>
      <w:r w:rsidR="00A22F69" w:rsidRPr="00A22F69">
        <w:rPr>
          <w:sz w:val="22"/>
          <w:szCs w:val="22"/>
        </w:rPr>
        <w:t xml:space="preserve">da </w:t>
      </w:r>
      <w:r>
        <w:rPr>
          <w:sz w:val="22"/>
          <w:szCs w:val="22"/>
        </w:rPr>
        <w:t xml:space="preserve">se </w:t>
      </w:r>
      <w:r w:rsidR="00A22F69" w:rsidRPr="00A22F69">
        <w:rPr>
          <w:sz w:val="22"/>
          <w:szCs w:val="22"/>
        </w:rPr>
        <w:t>bo za investicijo Vodovod ro</w:t>
      </w:r>
      <w:r>
        <w:rPr>
          <w:sz w:val="22"/>
          <w:szCs w:val="22"/>
        </w:rPr>
        <w:t>dno Praprotna Polica potrebovalo</w:t>
      </w:r>
      <w:r w:rsidR="00A22F69" w:rsidRPr="00A22F69">
        <w:rPr>
          <w:sz w:val="22"/>
          <w:szCs w:val="22"/>
        </w:rPr>
        <w:t xml:space="preserve"> 21.500 €. Investicija je dodana v načrt razvojnih programov pod številko OB12-17-001. Projekt je bil kot I. faza vodovoda izločen iz projekta 1642 - Vodovod letališče – Velesovo</w:t>
      </w:r>
      <w:r>
        <w:rPr>
          <w:sz w:val="22"/>
          <w:szCs w:val="22"/>
        </w:rPr>
        <w:t>,</w:t>
      </w:r>
      <w:r w:rsidR="00A22F69" w:rsidRPr="00A22F69">
        <w:rPr>
          <w:sz w:val="22"/>
          <w:szCs w:val="22"/>
        </w:rPr>
        <w:t xml:space="preserve"> in se prilagaja dinamiki gradnje krožišča Praprotna Polica na projektu prestavitve državne ceste G2-104. Planira se kot samostojni projekt.</w:t>
      </w:r>
    </w:p>
    <w:p w:rsidR="0041625E" w:rsidRPr="0041625E" w:rsidRDefault="0041625E" w:rsidP="0041625E">
      <w:pPr>
        <w:jc w:val="both"/>
        <w:rPr>
          <w:sz w:val="22"/>
          <w:szCs w:val="22"/>
          <w:highlight w:val="yellow"/>
        </w:rPr>
      </w:pPr>
    </w:p>
    <w:p w:rsidR="00786E42" w:rsidRPr="0041625E" w:rsidRDefault="00786E42" w:rsidP="00786E42">
      <w:pPr>
        <w:jc w:val="both"/>
        <w:rPr>
          <w:b/>
          <w:sz w:val="22"/>
          <w:szCs w:val="22"/>
        </w:rPr>
      </w:pPr>
      <w:r w:rsidRPr="0041625E">
        <w:rPr>
          <w:b/>
          <w:sz w:val="22"/>
          <w:szCs w:val="22"/>
        </w:rPr>
        <w:t>1633 – Mrliške vežice</w:t>
      </w:r>
    </w:p>
    <w:p w:rsidR="00A22F69" w:rsidRPr="0041625E" w:rsidRDefault="00A22F69" w:rsidP="00A22F69">
      <w:pPr>
        <w:jc w:val="both"/>
        <w:rPr>
          <w:sz w:val="22"/>
          <w:szCs w:val="22"/>
        </w:rPr>
      </w:pPr>
      <w:r w:rsidRPr="00A22F69">
        <w:rPr>
          <w:sz w:val="22"/>
          <w:szCs w:val="22"/>
        </w:rPr>
        <w:t>Sredstva se povečajo v vrednosti 14.000 € za stroške projektne dokumentacije in načrte. Sredstva so bila v proračunu za leto 2017 planirana samo za izdelavo idejnega projekta ureditve mrliških vežic v Cerkljah.</w:t>
      </w:r>
      <w:r w:rsidRPr="0041625E">
        <w:rPr>
          <w:sz w:val="22"/>
          <w:szCs w:val="22"/>
        </w:rPr>
        <w:t xml:space="preserve"> </w:t>
      </w:r>
    </w:p>
    <w:p w:rsidR="00786E42" w:rsidRDefault="00786E42" w:rsidP="00EA0DB0">
      <w:pPr>
        <w:jc w:val="both"/>
        <w:rPr>
          <w:sz w:val="22"/>
          <w:szCs w:val="22"/>
          <w:highlight w:val="yellow"/>
        </w:rPr>
      </w:pPr>
    </w:p>
    <w:p w:rsidR="00E95EEE" w:rsidRDefault="00E95EEE" w:rsidP="00E95EEE">
      <w:pPr>
        <w:jc w:val="both"/>
        <w:rPr>
          <w:sz w:val="22"/>
          <w:szCs w:val="22"/>
          <w:u w:val="single"/>
        </w:rPr>
      </w:pPr>
      <w:r>
        <w:rPr>
          <w:sz w:val="22"/>
          <w:szCs w:val="22"/>
          <w:u w:val="single"/>
        </w:rPr>
        <w:t>17</w:t>
      </w:r>
      <w:r w:rsidRPr="007B68A4">
        <w:rPr>
          <w:sz w:val="22"/>
          <w:szCs w:val="22"/>
          <w:u w:val="single"/>
        </w:rPr>
        <w:t xml:space="preserve"> </w:t>
      </w:r>
      <w:r>
        <w:rPr>
          <w:sz w:val="22"/>
          <w:szCs w:val="22"/>
          <w:u w:val="single"/>
        </w:rPr>
        <w:t>ZDRAVSTVENO VARSTVO</w:t>
      </w:r>
    </w:p>
    <w:p w:rsidR="00E95EEE" w:rsidRDefault="00E95EEE" w:rsidP="00E95EEE">
      <w:pPr>
        <w:jc w:val="both"/>
        <w:rPr>
          <w:sz w:val="22"/>
          <w:szCs w:val="22"/>
          <w:u w:val="single"/>
        </w:rPr>
      </w:pPr>
    </w:p>
    <w:p w:rsidR="00E95EEE" w:rsidRDefault="00E95EEE" w:rsidP="00E95EEE">
      <w:pPr>
        <w:jc w:val="both"/>
        <w:rPr>
          <w:b/>
          <w:sz w:val="22"/>
          <w:szCs w:val="22"/>
        </w:rPr>
      </w:pPr>
      <w:r>
        <w:rPr>
          <w:b/>
          <w:sz w:val="22"/>
          <w:szCs w:val="22"/>
        </w:rPr>
        <w:t xml:space="preserve">1773 </w:t>
      </w:r>
      <w:r w:rsidRPr="0041625E">
        <w:rPr>
          <w:b/>
          <w:sz w:val="22"/>
          <w:szCs w:val="22"/>
        </w:rPr>
        <w:t xml:space="preserve">– </w:t>
      </w:r>
      <w:r>
        <w:rPr>
          <w:b/>
          <w:sz w:val="22"/>
          <w:szCs w:val="22"/>
        </w:rPr>
        <w:t>Zdravstveni dom</w:t>
      </w:r>
    </w:p>
    <w:p w:rsidR="00E95EEE" w:rsidRDefault="008121F8" w:rsidP="00E95EEE">
      <w:pPr>
        <w:jc w:val="both"/>
        <w:rPr>
          <w:sz w:val="22"/>
          <w:szCs w:val="22"/>
        </w:rPr>
      </w:pPr>
      <w:r>
        <w:rPr>
          <w:sz w:val="22"/>
          <w:szCs w:val="22"/>
        </w:rPr>
        <w:t>Z</w:t>
      </w:r>
      <w:r w:rsidR="00E95EEE">
        <w:rPr>
          <w:sz w:val="22"/>
          <w:szCs w:val="22"/>
        </w:rPr>
        <w:t>a investicijo projekt Zdravst</w:t>
      </w:r>
      <w:r w:rsidR="00674817">
        <w:rPr>
          <w:sz w:val="22"/>
          <w:szCs w:val="22"/>
        </w:rPr>
        <w:t>veni dom</w:t>
      </w:r>
      <w:r>
        <w:rPr>
          <w:sz w:val="22"/>
          <w:szCs w:val="22"/>
        </w:rPr>
        <w:t xml:space="preserve"> smo v proračunu rezervirali sredstva v vrednosti</w:t>
      </w:r>
      <w:r w:rsidR="00997A20">
        <w:rPr>
          <w:sz w:val="22"/>
          <w:szCs w:val="22"/>
        </w:rPr>
        <w:t xml:space="preserve"> 800.000 €. Pri pripravi proračuna za leto 2017 je bil prvotno načrtovan projekt 1425 - Premuzarjeva hiša – večnamenski objekt, kateri se je z rebalansom ukinil. Sredstva so se prenesla na proračunsko postavko Zdravstveni dom. Investicija je dodana v načrt razvojnih programov pod številko OB12-17-004.</w:t>
      </w:r>
    </w:p>
    <w:p w:rsidR="00B10895" w:rsidRDefault="00B10895" w:rsidP="00E95EEE">
      <w:pPr>
        <w:jc w:val="both"/>
        <w:rPr>
          <w:sz w:val="22"/>
          <w:szCs w:val="22"/>
        </w:rPr>
      </w:pPr>
    </w:p>
    <w:p w:rsidR="007F0E91" w:rsidRPr="007F0E91" w:rsidRDefault="00B10895" w:rsidP="00B10895">
      <w:pPr>
        <w:jc w:val="both"/>
        <w:rPr>
          <w:b/>
          <w:bCs/>
          <w:sz w:val="22"/>
          <w:szCs w:val="22"/>
        </w:rPr>
      </w:pPr>
      <w:r w:rsidRPr="007F0E91">
        <w:rPr>
          <w:b/>
          <w:bCs/>
          <w:sz w:val="22"/>
          <w:szCs w:val="22"/>
        </w:rPr>
        <w:t>1774 - Nakup avtomatskih zunanjih defibrilatorjev (AED)</w:t>
      </w:r>
    </w:p>
    <w:p w:rsidR="007F0E91" w:rsidRDefault="007F0E91" w:rsidP="007F0E91">
      <w:pPr>
        <w:jc w:val="both"/>
        <w:rPr>
          <w:sz w:val="22"/>
          <w:szCs w:val="22"/>
          <w:u w:val="single"/>
        </w:rPr>
      </w:pPr>
      <w:r w:rsidRPr="007F0E91">
        <w:rPr>
          <w:sz w:val="22"/>
          <w:szCs w:val="22"/>
        </w:rPr>
        <w:t>Za projekt nakup avtomatskih zunanjih defibrilatorjev smo v proračuni rezervirali sredstva v vrednosti 4.000 €. Avtomatski zunanji defibrilatorj ali AED je prenosna elektronska naprava, ki samodejno zazna motnjo srčnega ritma, njena uporaba pa je preprosta, saj je namenjena tako ustrezno usposobljenemu osebju kot laikom, saj z glasovnimi, vizualnimi in besedilnimi sporočili vodi skozi celoten postopek oživljanja. Menimo, da bi z nakupom dveh AED-jev tako prispevali k ohranjanju življenj ob nenadnem zastoju srca. Investicija je dodana v načrt razvojnih programov pod številko OB012-17-0012.</w:t>
      </w:r>
    </w:p>
    <w:p w:rsidR="00E95EEE" w:rsidRDefault="00E95EEE" w:rsidP="00E95EEE">
      <w:pPr>
        <w:jc w:val="both"/>
        <w:rPr>
          <w:sz w:val="22"/>
          <w:szCs w:val="22"/>
          <w:u w:val="single"/>
        </w:rPr>
      </w:pPr>
    </w:p>
    <w:p w:rsidR="00997A20" w:rsidRDefault="00997A20" w:rsidP="00997A20">
      <w:pPr>
        <w:jc w:val="both"/>
        <w:rPr>
          <w:b/>
          <w:sz w:val="22"/>
          <w:szCs w:val="22"/>
        </w:rPr>
      </w:pPr>
      <w:r>
        <w:rPr>
          <w:b/>
          <w:sz w:val="22"/>
          <w:szCs w:val="22"/>
        </w:rPr>
        <w:t xml:space="preserve">1772 </w:t>
      </w:r>
      <w:r w:rsidRPr="0041625E">
        <w:rPr>
          <w:b/>
          <w:sz w:val="22"/>
          <w:szCs w:val="22"/>
        </w:rPr>
        <w:t xml:space="preserve">– </w:t>
      </w:r>
      <w:r>
        <w:rPr>
          <w:b/>
          <w:sz w:val="22"/>
          <w:szCs w:val="22"/>
        </w:rPr>
        <w:t>Plačilo prispevka za zdravstveno varstvo</w:t>
      </w:r>
    </w:p>
    <w:p w:rsidR="0079604D" w:rsidRDefault="0079604D" w:rsidP="00997A20">
      <w:pPr>
        <w:jc w:val="both"/>
        <w:rPr>
          <w:sz w:val="22"/>
          <w:szCs w:val="22"/>
        </w:rPr>
      </w:pPr>
      <w:r w:rsidRPr="0079604D">
        <w:rPr>
          <w:sz w:val="22"/>
          <w:szCs w:val="22"/>
        </w:rPr>
        <w:t>Na podlagi zadnjih podatkov o številu upravičencev do subvencioniranja prispevka za osnovno zdravstveno zavarovanje v primeru brezpos</w:t>
      </w:r>
      <w:r w:rsidR="008121F8">
        <w:rPr>
          <w:sz w:val="22"/>
          <w:szCs w:val="22"/>
        </w:rPr>
        <w:t>el</w:t>
      </w:r>
      <w:r w:rsidRPr="0079604D">
        <w:rPr>
          <w:sz w:val="22"/>
          <w:szCs w:val="22"/>
        </w:rPr>
        <w:t xml:space="preserve">nosti oz. v primeru socialne ogroženosti, </w:t>
      </w:r>
      <w:r w:rsidR="008121F8">
        <w:rPr>
          <w:sz w:val="22"/>
          <w:szCs w:val="22"/>
        </w:rPr>
        <w:t>smo</w:t>
      </w:r>
      <w:r w:rsidRPr="0079604D">
        <w:rPr>
          <w:sz w:val="22"/>
          <w:szCs w:val="22"/>
        </w:rPr>
        <w:t xml:space="preserve"> na podlagi do sedaj poravnanih prispevkov, </w:t>
      </w:r>
      <w:r w:rsidR="000F4EBC">
        <w:rPr>
          <w:sz w:val="22"/>
          <w:szCs w:val="22"/>
        </w:rPr>
        <w:t>ocenili, da se za obvezno zagotavljanje subvencij v</w:t>
      </w:r>
      <w:r w:rsidRPr="0079604D">
        <w:rPr>
          <w:sz w:val="22"/>
          <w:szCs w:val="22"/>
        </w:rPr>
        <w:t xml:space="preserve"> osnovno zdravstveno zavarovanje nameni</w:t>
      </w:r>
      <w:r w:rsidR="000F4EBC">
        <w:rPr>
          <w:sz w:val="22"/>
          <w:szCs w:val="22"/>
        </w:rPr>
        <w:t xml:space="preserve"> še</w:t>
      </w:r>
      <w:r w:rsidRPr="0079604D">
        <w:rPr>
          <w:sz w:val="22"/>
          <w:szCs w:val="22"/>
        </w:rPr>
        <w:t xml:space="preserve"> dodatnih 5.000</w:t>
      </w:r>
      <w:r w:rsidR="000F4EBC">
        <w:rPr>
          <w:sz w:val="22"/>
          <w:szCs w:val="22"/>
        </w:rPr>
        <w:t xml:space="preserve"> €.</w:t>
      </w:r>
    </w:p>
    <w:p w:rsidR="00B10895" w:rsidRPr="00997A20" w:rsidRDefault="00B10895" w:rsidP="00997A20">
      <w:pPr>
        <w:jc w:val="both"/>
        <w:rPr>
          <w:sz w:val="22"/>
          <w:szCs w:val="22"/>
        </w:rPr>
      </w:pPr>
    </w:p>
    <w:p w:rsidR="00997A20" w:rsidRDefault="00997A20" w:rsidP="00997A20">
      <w:pPr>
        <w:jc w:val="both"/>
        <w:rPr>
          <w:sz w:val="22"/>
          <w:szCs w:val="22"/>
          <w:u w:val="single"/>
        </w:rPr>
      </w:pPr>
      <w:r>
        <w:rPr>
          <w:sz w:val="22"/>
          <w:szCs w:val="22"/>
          <w:u w:val="single"/>
        </w:rPr>
        <w:t>18</w:t>
      </w:r>
      <w:r w:rsidRPr="007B68A4">
        <w:rPr>
          <w:sz w:val="22"/>
          <w:szCs w:val="22"/>
          <w:u w:val="single"/>
        </w:rPr>
        <w:t xml:space="preserve"> </w:t>
      </w:r>
      <w:r>
        <w:rPr>
          <w:sz w:val="22"/>
          <w:szCs w:val="22"/>
          <w:u w:val="single"/>
        </w:rPr>
        <w:t>KULTURA, ŠPORT IN NEVLADNE ORGANIZACIJE</w:t>
      </w:r>
    </w:p>
    <w:p w:rsidR="00997A20" w:rsidRPr="007B68A4" w:rsidRDefault="00997A20" w:rsidP="00E95EEE">
      <w:pPr>
        <w:jc w:val="both"/>
        <w:rPr>
          <w:sz w:val="22"/>
          <w:szCs w:val="22"/>
          <w:u w:val="single"/>
        </w:rPr>
      </w:pPr>
    </w:p>
    <w:p w:rsidR="00945A94" w:rsidRDefault="00945A94" w:rsidP="00945A94">
      <w:pPr>
        <w:jc w:val="both"/>
        <w:rPr>
          <w:b/>
          <w:sz w:val="22"/>
          <w:szCs w:val="22"/>
        </w:rPr>
      </w:pPr>
      <w:r>
        <w:rPr>
          <w:b/>
          <w:sz w:val="22"/>
          <w:szCs w:val="22"/>
        </w:rPr>
        <w:t xml:space="preserve">1834 </w:t>
      </w:r>
      <w:r w:rsidRPr="0041625E">
        <w:rPr>
          <w:b/>
          <w:sz w:val="22"/>
          <w:szCs w:val="22"/>
        </w:rPr>
        <w:t xml:space="preserve">– </w:t>
      </w:r>
      <w:r>
        <w:rPr>
          <w:b/>
          <w:sz w:val="22"/>
          <w:szCs w:val="22"/>
        </w:rPr>
        <w:t>Petrovčeva hiša</w:t>
      </w:r>
    </w:p>
    <w:p w:rsidR="00945A94" w:rsidRDefault="00945A94" w:rsidP="00945A94">
      <w:pPr>
        <w:jc w:val="both"/>
        <w:rPr>
          <w:sz w:val="22"/>
          <w:szCs w:val="22"/>
        </w:rPr>
      </w:pPr>
      <w:r>
        <w:rPr>
          <w:sz w:val="22"/>
          <w:szCs w:val="22"/>
        </w:rPr>
        <w:t xml:space="preserve">Sredstva se povečajo v vrednosti 4.000 € za nakup opreme. Dobavitelj opreme je račun izstavil prepozno, za to je strošek investicije zaveden v leto 2017. </w:t>
      </w:r>
    </w:p>
    <w:p w:rsidR="00945A94" w:rsidRDefault="00945A94" w:rsidP="00945A94">
      <w:pPr>
        <w:jc w:val="both"/>
        <w:rPr>
          <w:sz w:val="22"/>
          <w:szCs w:val="22"/>
        </w:rPr>
      </w:pPr>
    </w:p>
    <w:p w:rsidR="00945A94" w:rsidRDefault="009B720B" w:rsidP="00945A94">
      <w:pPr>
        <w:jc w:val="both"/>
        <w:rPr>
          <w:b/>
          <w:sz w:val="22"/>
          <w:szCs w:val="22"/>
        </w:rPr>
      </w:pPr>
      <w:r>
        <w:rPr>
          <w:b/>
          <w:sz w:val="22"/>
          <w:szCs w:val="22"/>
        </w:rPr>
        <w:t>1855</w:t>
      </w:r>
      <w:r w:rsidR="00945A94">
        <w:rPr>
          <w:b/>
          <w:sz w:val="22"/>
          <w:szCs w:val="22"/>
        </w:rPr>
        <w:t xml:space="preserve"> </w:t>
      </w:r>
      <w:r w:rsidR="00945A94" w:rsidRPr="0041625E">
        <w:rPr>
          <w:b/>
          <w:sz w:val="22"/>
          <w:szCs w:val="22"/>
        </w:rPr>
        <w:t xml:space="preserve">– </w:t>
      </w:r>
      <w:r w:rsidR="00945A94">
        <w:rPr>
          <w:b/>
          <w:sz w:val="22"/>
          <w:szCs w:val="22"/>
        </w:rPr>
        <w:t>Nogometni center Velesovo</w:t>
      </w:r>
      <w:r>
        <w:rPr>
          <w:b/>
          <w:sz w:val="22"/>
          <w:szCs w:val="22"/>
        </w:rPr>
        <w:t xml:space="preserve"> - šotor</w:t>
      </w:r>
    </w:p>
    <w:p w:rsidR="00187E3F" w:rsidRDefault="0079604D" w:rsidP="00187E3F">
      <w:pPr>
        <w:jc w:val="both"/>
        <w:rPr>
          <w:sz w:val="22"/>
          <w:szCs w:val="22"/>
        </w:rPr>
      </w:pPr>
      <w:r w:rsidRPr="0079604D">
        <w:rPr>
          <w:sz w:val="22"/>
          <w:szCs w:val="22"/>
        </w:rPr>
        <w:t xml:space="preserve">Na proračunski postavki Nogometni center Velesovo - šotor za leto 2017, se </w:t>
      </w:r>
      <w:r w:rsidR="00430219">
        <w:rPr>
          <w:sz w:val="22"/>
          <w:szCs w:val="22"/>
        </w:rPr>
        <w:t>rezervirajo sredstva investicij</w:t>
      </w:r>
      <w:r w:rsidRPr="0079604D">
        <w:rPr>
          <w:sz w:val="22"/>
          <w:szCs w:val="22"/>
        </w:rPr>
        <w:t xml:space="preserve"> v vrednosti 228.000 € za postavitev šotora. Stroški načrtovane investicije so dodani v načrt razvojnih programov pod številko OB12-17-006. </w:t>
      </w:r>
    </w:p>
    <w:p w:rsidR="000F4EBC" w:rsidRDefault="000F4EBC" w:rsidP="00187E3F">
      <w:pPr>
        <w:jc w:val="both"/>
        <w:rPr>
          <w:sz w:val="22"/>
          <w:szCs w:val="22"/>
          <w:highlight w:val="yellow"/>
        </w:rPr>
      </w:pPr>
    </w:p>
    <w:p w:rsidR="00187E3F" w:rsidRDefault="00187E3F" w:rsidP="00187E3F">
      <w:pPr>
        <w:jc w:val="both"/>
        <w:rPr>
          <w:sz w:val="22"/>
          <w:szCs w:val="22"/>
          <w:u w:val="single"/>
        </w:rPr>
      </w:pPr>
      <w:r>
        <w:rPr>
          <w:sz w:val="22"/>
          <w:szCs w:val="22"/>
          <w:u w:val="single"/>
        </w:rPr>
        <w:t>19</w:t>
      </w:r>
      <w:r w:rsidRPr="007B68A4">
        <w:rPr>
          <w:sz w:val="22"/>
          <w:szCs w:val="22"/>
          <w:u w:val="single"/>
        </w:rPr>
        <w:t xml:space="preserve"> </w:t>
      </w:r>
      <w:r>
        <w:rPr>
          <w:sz w:val="22"/>
          <w:szCs w:val="22"/>
          <w:u w:val="single"/>
        </w:rPr>
        <w:t>IZOBRAŽEVANJE</w:t>
      </w:r>
    </w:p>
    <w:p w:rsidR="00187E3F" w:rsidRDefault="00187E3F" w:rsidP="00187E3F">
      <w:pPr>
        <w:jc w:val="both"/>
        <w:rPr>
          <w:sz w:val="22"/>
          <w:szCs w:val="22"/>
          <w:u w:val="single"/>
        </w:rPr>
      </w:pPr>
    </w:p>
    <w:p w:rsidR="00187E3F" w:rsidRDefault="00187E3F" w:rsidP="00187E3F">
      <w:pPr>
        <w:jc w:val="both"/>
        <w:rPr>
          <w:b/>
          <w:sz w:val="22"/>
          <w:szCs w:val="22"/>
        </w:rPr>
      </w:pPr>
      <w:r>
        <w:rPr>
          <w:b/>
          <w:sz w:val="22"/>
          <w:szCs w:val="22"/>
        </w:rPr>
        <w:t xml:space="preserve">1921 </w:t>
      </w:r>
      <w:r w:rsidRPr="0041625E">
        <w:rPr>
          <w:b/>
          <w:sz w:val="22"/>
          <w:szCs w:val="22"/>
        </w:rPr>
        <w:t xml:space="preserve">– </w:t>
      </w:r>
      <w:r>
        <w:rPr>
          <w:b/>
          <w:sz w:val="22"/>
          <w:szCs w:val="22"/>
        </w:rPr>
        <w:t>Razlika med ceno programov in plačili staršev</w:t>
      </w:r>
    </w:p>
    <w:p w:rsidR="0079604D" w:rsidRDefault="0079604D" w:rsidP="0079604D">
      <w:pPr>
        <w:jc w:val="both"/>
        <w:rPr>
          <w:sz w:val="22"/>
          <w:szCs w:val="22"/>
        </w:rPr>
      </w:pPr>
      <w:r w:rsidRPr="0079604D">
        <w:rPr>
          <w:sz w:val="22"/>
          <w:szCs w:val="22"/>
        </w:rPr>
        <w:t>Občina Ce</w:t>
      </w:r>
      <w:r w:rsidR="000F4EBC">
        <w:rPr>
          <w:sz w:val="22"/>
          <w:szCs w:val="22"/>
        </w:rPr>
        <w:t>rklje na Gorenjskem je s strani</w:t>
      </w:r>
      <w:r w:rsidRPr="0079604D">
        <w:rPr>
          <w:sz w:val="22"/>
          <w:szCs w:val="22"/>
        </w:rPr>
        <w:t xml:space="preserve"> koncesionarja Marjin vrtec Cerklje prejela vlogo za uskladitev cen vzgojno-izobraževalnih programov vrtca. Vrtec je v vlogi predlagal povišanje cen predšolskih programov s 1.9.2017 dalje. Na podlagi navedenega Občina predlaga, da se na navedeni postavki za zagotavljanje subvencioniranja vseh programov predšolske vzgoje zagotovijo dodatna sredstva v višini 15.000 €.</w:t>
      </w:r>
    </w:p>
    <w:p w:rsidR="00D84A96" w:rsidRDefault="00D84A96" w:rsidP="00187E3F">
      <w:pPr>
        <w:jc w:val="both"/>
        <w:rPr>
          <w:sz w:val="22"/>
          <w:szCs w:val="22"/>
        </w:rPr>
      </w:pPr>
    </w:p>
    <w:p w:rsidR="00D84A96" w:rsidRDefault="00D84A96" w:rsidP="00D84A96">
      <w:pPr>
        <w:jc w:val="both"/>
        <w:rPr>
          <w:b/>
          <w:sz w:val="22"/>
          <w:szCs w:val="22"/>
        </w:rPr>
      </w:pPr>
      <w:r>
        <w:rPr>
          <w:b/>
          <w:sz w:val="22"/>
          <w:szCs w:val="22"/>
        </w:rPr>
        <w:t xml:space="preserve">1924 </w:t>
      </w:r>
      <w:r w:rsidRPr="0041625E">
        <w:rPr>
          <w:b/>
          <w:sz w:val="22"/>
          <w:szCs w:val="22"/>
        </w:rPr>
        <w:t xml:space="preserve">– </w:t>
      </w:r>
      <w:r>
        <w:rPr>
          <w:b/>
          <w:sz w:val="22"/>
          <w:szCs w:val="22"/>
        </w:rPr>
        <w:t>Marijin vrtec</w:t>
      </w:r>
    </w:p>
    <w:p w:rsidR="00D84A96" w:rsidRPr="00D84A96" w:rsidRDefault="00D84A96" w:rsidP="00D84A96">
      <w:pPr>
        <w:jc w:val="both"/>
        <w:rPr>
          <w:sz w:val="22"/>
          <w:szCs w:val="22"/>
        </w:rPr>
      </w:pPr>
      <w:r>
        <w:rPr>
          <w:sz w:val="22"/>
          <w:szCs w:val="22"/>
        </w:rPr>
        <w:t>Na proračunski postavki Marijin vrtec smo rezervirali sredstva v vrednosti 50.000 €</w:t>
      </w:r>
      <w:r w:rsidR="006954F3">
        <w:rPr>
          <w:sz w:val="22"/>
          <w:szCs w:val="22"/>
        </w:rPr>
        <w:t>. N</w:t>
      </w:r>
      <w:r>
        <w:rPr>
          <w:sz w:val="22"/>
          <w:szCs w:val="22"/>
        </w:rPr>
        <w:t>a podlagi dopisa prejetega po požaru</w:t>
      </w:r>
      <w:r w:rsidR="006954F3">
        <w:rPr>
          <w:sz w:val="22"/>
          <w:szCs w:val="22"/>
        </w:rPr>
        <w:t>,</w:t>
      </w:r>
      <w:r>
        <w:rPr>
          <w:sz w:val="22"/>
          <w:szCs w:val="22"/>
        </w:rPr>
        <w:t xml:space="preserve"> ki je dne 7.4.2017</w:t>
      </w:r>
      <w:r w:rsidR="001A0310">
        <w:rPr>
          <w:sz w:val="22"/>
          <w:szCs w:val="22"/>
        </w:rPr>
        <w:t xml:space="preserve"> zajelo otroško igrišče</w:t>
      </w:r>
      <w:r w:rsidR="006A3AB8">
        <w:rPr>
          <w:sz w:val="22"/>
          <w:szCs w:val="22"/>
        </w:rPr>
        <w:t xml:space="preserve"> in </w:t>
      </w:r>
      <w:r w:rsidR="00D77DFE">
        <w:rPr>
          <w:sz w:val="22"/>
          <w:szCs w:val="22"/>
        </w:rPr>
        <w:t>poslopje</w:t>
      </w:r>
      <w:r w:rsidR="006A3AB8">
        <w:rPr>
          <w:sz w:val="22"/>
          <w:szCs w:val="22"/>
        </w:rPr>
        <w:t xml:space="preserve"> (telovadni kabinet z športnimi rekviziti in igrali, sanitarije, telovadnico)</w:t>
      </w:r>
      <w:r w:rsidR="006954F3">
        <w:rPr>
          <w:sz w:val="22"/>
          <w:szCs w:val="22"/>
        </w:rPr>
        <w:t>, je občina rezervirala</w:t>
      </w:r>
      <w:r>
        <w:rPr>
          <w:sz w:val="22"/>
          <w:szCs w:val="22"/>
        </w:rPr>
        <w:t xml:space="preserve"> </w:t>
      </w:r>
      <w:r w:rsidR="006954F3">
        <w:rPr>
          <w:sz w:val="22"/>
          <w:szCs w:val="22"/>
        </w:rPr>
        <w:t>s</w:t>
      </w:r>
      <w:r>
        <w:rPr>
          <w:sz w:val="22"/>
          <w:szCs w:val="22"/>
        </w:rPr>
        <w:t>redstva</w:t>
      </w:r>
      <w:r w:rsidR="006954F3">
        <w:rPr>
          <w:sz w:val="22"/>
          <w:szCs w:val="22"/>
        </w:rPr>
        <w:t>, ki bodo</w:t>
      </w:r>
      <w:r>
        <w:rPr>
          <w:sz w:val="22"/>
          <w:szCs w:val="22"/>
        </w:rPr>
        <w:t xml:space="preserve"> namenjena za investicije</w:t>
      </w:r>
      <w:r w:rsidR="001A0310">
        <w:rPr>
          <w:sz w:val="22"/>
          <w:szCs w:val="22"/>
        </w:rPr>
        <w:t xml:space="preserve"> in nakup nove opreme</w:t>
      </w:r>
      <w:r w:rsidR="006954F3">
        <w:rPr>
          <w:sz w:val="22"/>
          <w:szCs w:val="22"/>
        </w:rPr>
        <w:t>. V</w:t>
      </w:r>
      <w:r>
        <w:rPr>
          <w:sz w:val="22"/>
          <w:szCs w:val="22"/>
        </w:rPr>
        <w:t>rtcu</w:t>
      </w:r>
      <w:r w:rsidR="006954F3">
        <w:rPr>
          <w:sz w:val="22"/>
          <w:szCs w:val="22"/>
        </w:rPr>
        <w:t xml:space="preserve"> se bo s temi sredstvi</w:t>
      </w:r>
      <w:r>
        <w:rPr>
          <w:sz w:val="22"/>
          <w:szCs w:val="22"/>
        </w:rPr>
        <w:t xml:space="preserve"> omogočilo normalno delovanje in otrokom nudilo kvalitetno varstvo in vzgojo. Investicija je dodana v načrt razvojnih programov pod številko OB12-17-007.</w:t>
      </w:r>
    </w:p>
    <w:p w:rsidR="00D84A96" w:rsidRPr="00054390" w:rsidRDefault="00D84A96" w:rsidP="00187E3F">
      <w:pPr>
        <w:jc w:val="both"/>
        <w:rPr>
          <w:sz w:val="22"/>
          <w:szCs w:val="22"/>
        </w:rPr>
      </w:pPr>
    </w:p>
    <w:p w:rsidR="00D84A96" w:rsidRDefault="00D84A96" w:rsidP="00D84A96">
      <w:pPr>
        <w:jc w:val="both"/>
        <w:rPr>
          <w:b/>
          <w:sz w:val="22"/>
          <w:szCs w:val="22"/>
        </w:rPr>
      </w:pPr>
      <w:r>
        <w:rPr>
          <w:b/>
          <w:sz w:val="22"/>
          <w:szCs w:val="22"/>
        </w:rPr>
        <w:t xml:space="preserve">1934 </w:t>
      </w:r>
      <w:r w:rsidRPr="0041625E">
        <w:rPr>
          <w:b/>
          <w:sz w:val="22"/>
          <w:szCs w:val="22"/>
        </w:rPr>
        <w:t xml:space="preserve">– </w:t>
      </w:r>
      <w:r>
        <w:rPr>
          <w:b/>
          <w:sz w:val="22"/>
          <w:szCs w:val="22"/>
        </w:rPr>
        <w:t>Dodatne dejavnosti v OŠ</w:t>
      </w:r>
    </w:p>
    <w:p w:rsidR="00187E3F" w:rsidRDefault="0079604D" w:rsidP="00187E3F">
      <w:pPr>
        <w:jc w:val="both"/>
        <w:rPr>
          <w:sz w:val="22"/>
          <w:szCs w:val="22"/>
        </w:rPr>
      </w:pPr>
      <w:r w:rsidRPr="0079604D">
        <w:rPr>
          <w:sz w:val="22"/>
          <w:szCs w:val="22"/>
        </w:rPr>
        <w:t xml:space="preserve">Za namen obdaritve uspešnih učencev ter prvošolčkov ob njihovem prvem koraku v svet šole, se zaradi nastalih stroškov, povezanih z navedenim aktivnostim, predlaga, da se na postavki zagotovijo dodatna sredstva v višini </w:t>
      </w:r>
      <w:r>
        <w:rPr>
          <w:sz w:val="22"/>
          <w:szCs w:val="22"/>
        </w:rPr>
        <w:t>5</w:t>
      </w:r>
      <w:r w:rsidRPr="0079604D">
        <w:rPr>
          <w:sz w:val="22"/>
          <w:szCs w:val="22"/>
        </w:rPr>
        <w:t>00</w:t>
      </w:r>
      <w:r>
        <w:rPr>
          <w:sz w:val="22"/>
          <w:szCs w:val="22"/>
        </w:rPr>
        <w:t xml:space="preserve"> €</w:t>
      </w:r>
      <w:r w:rsidRPr="0079604D">
        <w:rPr>
          <w:sz w:val="22"/>
          <w:szCs w:val="22"/>
        </w:rPr>
        <w:t>.</w:t>
      </w:r>
    </w:p>
    <w:p w:rsidR="0079604D" w:rsidRDefault="0079604D" w:rsidP="00187E3F">
      <w:pPr>
        <w:jc w:val="both"/>
        <w:rPr>
          <w:sz w:val="22"/>
          <w:szCs w:val="22"/>
          <w:u w:val="single"/>
        </w:rPr>
      </w:pPr>
    </w:p>
    <w:p w:rsidR="00EF3916" w:rsidRDefault="009B720B" w:rsidP="00EF3916">
      <w:pPr>
        <w:jc w:val="both"/>
        <w:rPr>
          <w:b/>
          <w:sz w:val="22"/>
          <w:szCs w:val="22"/>
        </w:rPr>
      </w:pPr>
      <w:r>
        <w:rPr>
          <w:b/>
          <w:sz w:val="22"/>
          <w:szCs w:val="22"/>
        </w:rPr>
        <w:t>1937</w:t>
      </w:r>
      <w:r w:rsidR="00EF3916">
        <w:rPr>
          <w:b/>
          <w:sz w:val="22"/>
          <w:szCs w:val="22"/>
        </w:rPr>
        <w:t xml:space="preserve"> </w:t>
      </w:r>
      <w:r w:rsidR="00EF3916" w:rsidRPr="0041625E">
        <w:rPr>
          <w:b/>
          <w:sz w:val="22"/>
          <w:szCs w:val="22"/>
        </w:rPr>
        <w:t xml:space="preserve">– </w:t>
      </w:r>
      <w:r>
        <w:rPr>
          <w:b/>
          <w:sz w:val="22"/>
          <w:szCs w:val="22"/>
        </w:rPr>
        <w:t>Investicije in izboljšave v šolske objekte</w:t>
      </w:r>
    </w:p>
    <w:p w:rsidR="00FE5FEE" w:rsidRPr="00A22F69" w:rsidRDefault="00B82030" w:rsidP="00A22F69">
      <w:pPr>
        <w:jc w:val="both"/>
        <w:rPr>
          <w:sz w:val="22"/>
          <w:szCs w:val="22"/>
        </w:rPr>
      </w:pPr>
      <w:r>
        <w:rPr>
          <w:sz w:val="22"/>
          <w:szCs w:val="22"/>
        </w:rPr>
        <w:t>Na proračunski postavki investicijska izboljšava šolskih objektov</w:t>
      </w:r>
      <w:r w:rsidR="00A22F69" w:rsidRPr="00A22F69">
        <w:rPr>
          <w:sz w:val="22"/>
          <w:szCs w:val="22"/>
        </w:rPr>
        <w:t xml:space="preserve"> smo </w:t>
      </w:r>
      <w:r>
        <w:rPr>
          <w:sz w:val="22"/>
          <w:szCs w:val="22"/>
        </w:rPr>
        <w:t>rezervirali</w:t>
      </w:r>
      <w:r w:rsidR="00A22F69" w:rsidRPr="00A22F69">
        <w:rPr>
          <w:sz w:val="22"/>
          <w:szCs w:val="22"/>
        </w:rPr>
        <w:t xml:space="preserve"> sredstva v vrednosti 120.625 €. To so sredstva</w:t>
      </w:r>
      <w:r>
        <w:rPr>
          <w:sz w:val="22"/>
          <w:szCs w:val="22"/>
        </w:rPr>
        <w:t>,</w:t>
      </w:r>
      <w:r w:rsidR="00A22F69" w:rsidRPr="00A22F69">
        <w:rPr>
          <w:sz w:val="22"/>
          <w:szCs w:val="22"/>
        </w:rPr>
        <w:t xml:space="preserve"> ki jih je občina prejela od šole kot presežek sredstev v letih 2015 in 2016. Prejeta sredstva je občina namensko razporedila za investicije v izgradnjo nadstreška nad vrtcem, projekt investicije priklopa kurilnice na zemeljski plin in za spremembo prometne ureditev pred podružnično šolo v Zalogu. Investicijske izboljšave so dodane v načrt razvojnih programov pod številko OB12-17-0011.</w:t>
      </w:r>
    </w:p>
    <w:p w:rsidR="00E95EEE" w:rsidRPr="003D76A2" w:rsidRDefault="00E95EEE" w:rsidP="00EA0DB0">
      <w:pPr>
        <w:jc w:val="both"/>
        <w:rPr>
          <w:sz w:val="22"/>
          <w:szCs w:val="22"/>
          <w:highlight w:val="yellow"/>
        </w:rPr>
      </w:pPr>
    </w:p>
    <w:p w:rsidR="001F772E" w:rsidRPr="00C402E8" w:rsidRDefault="00E4523E" w:rsidP="00EA0DB0">
      <w:pPr>
        <w:jc w:val="both"/>
        <w:rPr>
          <w:sz w:val="22"/>
          <w:szCs w:val="22"/>
          <w:u w:val="single"/>
        </w:rPr>
      </w:pPr>
      <w:r w:rsidRPr="00C402E8">
        <w:rPr>
          <w:sz w:val="22"/>
          <w:szCs w:val="22"/>
          <w:u w:val="single"/>
        </w:rPr>
        <w:t>20</w:t>
      </w:r>
      <w:r w:rsidR="001F772E" w:rsidRPr="00C402E8">
        <w:rPr>
          <w:sz w:val="22"/>
          <w:szCs w:val="22"/>
          <w:u w:val="single"/>
        </w:rPr>
        <w:t xml:space="preserve"> </w:t>
      </w:r>
      <w:r w:rsidRPr="00C402E8">
        <w:rPr>
          <w:sz w:val="22"/>
          <w:szCs w:val="22"/>
          <w:u w:val="single"/>
        </w:rPr>
        <w:t>SOCIALNO VARSTVO</w:t>
      </w:r>
    </w:p>
    <w:p w:rsidR="001F772E" w:rsidRPr="003D76A2" w:rsidRDefault="001F772E" w:rsidP="00EA0DB0">
      <w:pPr>
        <w:jc w:val="both"/>
        <w:rPr>
          <w:sz w:val="22"/>
          <w:szCs w:val="22"/>
          <w:highlight w:val="yellow"/>
          <w:u w:val="single"/>
        </w:rPr>
      </w:pPr>
    </w:p>
    <w:p w:rsidR="001F772E" w:rsidRPr="00E510C2" w:rsidRDefault="00E4523E" w:rsidP="00EA0DB0">
      <w:pPr>
        <w:jc w:val="both"/>
        <w:rPr>
          <w:b/>
          <w:sz w:val="22"/>
          <w:szCs w:val="22"/>
        </w:rPr>
      </w:pPr>
      <w:r w:rsidRPr="00E510C2">
        <w:rPr>
          <w:b/>
          <w:sz w:val="22"/>
          <w:szCs w:val="22"/>
        </w:rPr>
        <w:t>2046</w:t>
      </w:r>
      <w:r w:rsidR="001F772E" w:rsidRPr="00E510C2">
        <w:rPr>
          <w:b/>
          <w:sz w:val="22"/>
          <w:szCs w:val="22"/>
        </w:rPr>
        <w:t xml:space="preserve"> </w:t>
      </w:r>
      <w:r w:rsidRPr="00E510C2">
        <w:rPr>
          <w:b/>
          <w:sz w:val="22"/>
          <w:szCs w:val="22"/>
        </w:rPr>
        <w:t>–</w:t>
      </w:r>
      <w:r w:rsidR="001F772E" w:rsidRPr="00E510C2">
        <w:rPr>
          <w:b/>
          <w:sz w:val="22"/>
          <w:szCs w:val="22"/>
        </w:rPr>
        <w:t xml:space="preserve"> </w:t>
      </w:r>
      <w:r w:rsidRPr="00E510C2">
        <w:rPr>
          <w:b/>
          <w:sz w:val="22"/>
          <w:szCs w:val="22"/>
        </w:rPr>
        <w:t>Financiranje družinskega pomočnika</w:t>
      </w:r>
    </w:p>
    <w:p w:rsidR="0079604D" w:rsidRDefault="0079604D" w:rsidP="0079604D">
      <w:pPr>
        <w:jc w:val="both"/>
        <w:rPr>
          <w:sz w:val="22"/>
          <w:szCs w:val="22"/>
        </w:rPr>
      </w:pPr>
      <w:r w:rsidRPr="0079604D">
        <w:rPr>
          <w:sz w:val="22"/>
          <w:szCs w:val="22"/>
        </w:rPr>
        <w:t xml:space="preserve">Na podlagi izdanih odločb do upravičenosti financiranja družinskega pomočnika se zaradi zagotavljanja subvencioniranja s strani občine, </w:t>
      </w:r>
      <w:r w:rsidR="00211D04">
        <w:rPr>
          <w:sz w:val="22"/>
          <w:szCs w:val="22"/>
        </w:rPr>
        <w:t>na</w:t>
      </w:r>
      <w:r w:rsidRPr="0079604D">
        <w:rPr>
          <w:sz w:val="22"/>
          <w:szCs w:val="22"/>
        </w:rPr>
        <w:t xml:space="preserve"> proračunski postavki zagotovijo dodatna sredstva v </w:t>
      </w:r>
      <w:r w:rsidR="00211D04">
        <w:rPr>
          <w:sz w:val="22"/>
          <w:szCs w:val="22"/>
        </w:rPr>
        <w:t>vrednosti</w:t>
      </w:r>
      <w:r w:rsidRPr="0079604D">
        <w:rPr>
          <w:sz w:val="22"/>
          <w:szCs w:val="22"/>
        </w:rPr>
        <w:t xml:space="preserve"> 5.000 €.</w:t>
      </w:r>
      <w:r>
        <w:rPr>
          <w:sz w:val="22"/>
          <w:szCs w:val="22"/>
        </w:rPr>
        <w:t xml:space="preserve"> </w:t>
      </w:r>
    </w:p>
    <w:p w:rsidR="00E4523E" w:rsidRDefault="00E4523E" w:rsidP="00EA0DB0">
      <w:pPr>
        <w:jc w:val="both"/>
        <w:rPr>
          <w:sz w:val="22"/>
          <w:szCs w:val="22"/>
        </w:rPr>
      </w:pPr>
    </w:p>
    <w:p w:rsidR="00C402E8" w:rsidRDefault="00C402E8" w:rsidP="00C402E8">
      <w:pPr>
        <w:jc w:val="both"/>
        <w:rPr>
          <w:b/>
          <w:sz w:val="22"/>
          <w:szCs w:val="22"/>
        </w:rPr>
      </w:pPr>
      <w:r>
        <w:rPr>
          <w:b/>
          <w:sz w:val="22"/>
          <w:szCs w:val="22"/>
        </w:rPr>
        <w:t>2042</w:t>
      </w:r>
      <w:r w:rsidRPr="00E510C2">
        <w:rPr>
          <w:b/>
          <w:sz w:val="22"/>
          <w:szCs w:val="22"/>
        </w:rPr>
        <w:t xml:space="preserve">– </w:t>
      </w:r>
      <w:r>
        <w:rPr>
          <w:b/>
          <w:sz w:val="22"/>
          <w:szCs w:val="22"/>
        </w:rPr>
        <w:t>Socialno varstvo starih</w:t>
      </w:r>
    </w:p>
    <w:p w:rsidR="00C402E8" w:rsidRDefault="008E7915" w:rsidP="00C402E8">
      <w:pPr>
        <w:jc w:val="both"/>
        <w:rPr>
          <w:sz w:val="22"/>
          <w:szCs w:val="22"/>
        </w:rPr>
      </w:pPr>
      <w:r>
        <w:rPr>
          <w:sz w:val="22"/>
          <w:szCs w:val="22"/>
        </w:rPr>
        <w:t>N</w:t>
      </w:r>
      <w:r w:rsidR="00C402E8" w:rsidRPr="00C402E8">
        <w:rPr>
          <w:sz w:val="22"/>
          <w:szCs w:val="22"/>
        </w:rPr>
        <w:t>a proračunski postavki</w:t>
      </w:r>
      <w:r>
        <w:rPr>
          <w:sz w:val="22"/>
          <w:szCs w:val="22"/>
        </w:rPr>
        <w:t xml:space="preserve"> smo dodali</w:t>
      </w:r>
      <w:r w:rsidR="00C402E8" w:rsidRPr="00C402E8">
        <w:rPr>
          <w:sz w:val="22"/>
          <w:szCs w:val="22"/>
        </w:rPr>
        <w:t xml:space="preserve"> 10.000 €</w:t>
      </w:r>
      <w:r w:rsidR="00C402E8">
        <w:rPr>
          <w:sz w:val="22"/>
          <w:szCs w:val="22"/>
        </w:rPr>
        <w:t>, sredstva so bila za leto 2017 rezervirana na podlagi predhodne porabe. Sredstva so dodana zaradi</w:t>
      </w:r>
      <w:r w:rsidR="00C402E8" w:rsidRPr="00C402E8">
        <w:rPr>
          <w:sz w:val="22"/>
          <w:szCs w:val="22"/>
        </w:rPr>
        <w:t xml:space="preserve"> napovedi povečanja cen oskrbe v domovih</w:t>
      </w:r>
      <w:r w:rsidR="00C402E8">
        <w:rPr>
          <w:sz w:val="22"/>
          <w:szCs w:val="22"/>
        </w:rPr>
        <w:t>.</w:t>
      </w:r>
    </w:p>
    <w:p w:rsidR="00C402E8" w:rsidRDefault="00C402E8" w:rsidP="00C402E8">
      <w:pPr>
        <w:jc w:val="both"/>
        <w:rPr>
          <w:sz w:val="22"/>
          <w:szCs w:val="22"/>
        </w:rPr>
      </w:pPr>
    </w:p>
    <w:p w:rsidR="00C402E8" w:rsidRDefault="00C402E8" w:rsidP="00C402E8">
      <w:pPr>
        <w:jc w:val="both"/>
        <w:rPr>
          <w:b/>
          <w:sz w:val="22"/>
          <w:szCs w:val="22"/>
        </w:rPr>
      </w:pPr>
      <w:r>
        <w:rPr>
          <w:b/>
          <w:sz w:val="22"/>
          <w:szCs w:val="22"/>
        </w:rPr>
        <w:t>2049</w:t>
      </w:r>
      <w:r w:rsidRPr="00E510C2">
        <w:rPr>
          <w:b/>
          <w:sz w:val="22"/>
          <w:szCs w:val="22"/>
        </w:rPr>
        <w:t xml:space="preserve"> – </w:t>
      </w:r>
      <w:r>
        <w:rPr>
          <w:b/>
          <w:sz w:val="22"/>
          <w:szCs w:val="22"/>
        </w:rPr>
        <w:t>Subvencioniranje najemnin</w:t>
      </w:r>
    </w:p>
    <w:p w:rsidR="00E51902" w:rsidRDefault="00E51902" w:rsidP="00E51902">
      <w:pPr>
        <w:jc w:val="both"/>
        <w:rPr>
          <w:sz w:val="22"/>
          <w:szCs w:val="22"/>
        </w:rPr>
      </w:pPr>
      <w:r w:rsidRPr="00E51902">
        <w:rPr>
          <w:sz w:val="22"/>
          <w:szCs w:val="22"/>
        </w:rPr>
        <w:t>Na podlagi prejetih odločb Centra za socialno delo o subvencioniranju najemni</w:t>
      </w:r>
      <w:r w:rsidR="009735EA">
        <w:rPr>
          <w:sz w:val="22"/>
          <w:szCs w:val="22"/>
        </w:rPr>
        <w:t>n v letu 2017, ugotavljamo,</w:t>
      </w:r>
      <w:r w:rsidRPr="00E51902">
        <w:rPr>
          <w:sz w:val="22"/>
          <w:szCs w:val="22"/>
        </w:rPr>
        <w:t xml:space="preserve"> da</w:t>
      </w:r>
      <w:r w:rsidR="009735EA">
        <w:rPr>
          <w:sz w:val="22"/>
          <w:szCs w:val="22"/>
        </w:rPr>
        <w:t xml:space="preserve"> se</w:t>
      </w:r>
      <w:r w:rsidRPr="00E51902">
        <w:rPr>
          <w:sz w:val="22"/>
          <w:szCs w:val="22"/>
        </w:rPr>
        <w:t xml:space="preserve"> je v času priprave</w:t>
      </w:r>
      <w:r w:rsidR="009735EA">
        <w:rPr>
          <w:sz w:val="22"/>
          <w:szCs w:val="22"/>
        </w:rPr>
        <w:t xml:space="preserve"> proračuna za leto 2017 izhajalo</w:t>
      </w:r>
      <w:r w:rsidRPr="00E51902">
        <w:rPr>
          <w:sz w:val="22"/>
          <w:szCs w:val="22"/>
        </w:rPr>
        <w:t xml:space="preserve"> iz</w:t>
      </w:r>
      <w:r w:rsidR="009735EA">
        <w:rPr>
          <w:sz w:val="22"/>
          <w:szCs w:val="22"/>
        </w:rPr>
        <w:t xml:space="preserve"> podatkov vezanih na leto 2016. Š</w:t>
      </w:r>
      <w:r w:rsidRPr="00E51902">
        <w:rPr>
          <w:sz w:val="22"/>
          <w:szCs w:val="22"/>
        </w:rPr>
        <w:t>tevilo upravičencev do subvencioniranja v letu 2017</w:t>
      </w:r>
      <w:r w:rsidR="009735EA">
        <w:rPr>
          <w:sz w:val="22"/>
          <w:szCs w:val="22"/>
        </w:rPr>
        <w:t xml:space="preserve"> se je</w:t>
      </w:r>
      <w:r w:rsidRPr="00E51902">
        <w:rPr>
          <w:sz w:val="22"/>
          <w:szCs w:val="22"/>
        </w:rPr>
        <w:t xml:space="preserve"> povečalo, posledično s tem pa tudi višina</w:t>
      </w:r>
      <w:r w:rsidR="009735EA">
        <w:rPr>
          <w:sz w:val="22"/>
          <w:szCs w:val="22"/>
        </w:rPr>
        <w:t xml:space="preserve"> potrebnih</w:t>
      </w:r>
      <w:r w:rsidRPr="00E51902">
        <w:rPr>
          <w:sz w:val="22"/>
          <w:szCs w:val="22"/>
        </w:rPr>
        <w:t xml:space="preserve"> sredstev namen</w:t>
      </w:r>
      <w:r w:rsidR="009735EA">
        <w:rPr>
          <w:sz w:val="22"/>
          <w:szCs w:val="22"/>
        </w:rPr>
        <w:t>jenih za subvencioniranje, zato</w:t>
      </w:r>
      <w:r w:rsidRPr="00E51902">
        <w:rPr>
          <w:sz w:val="22"/>
          <w:szCs w:val="22"/>
        </w:rPr>
        <w:t xml:space="preserve"> se na postavki zagotovijo dodatna sredstva v višini 2.500 €.</w:t>
      </w:r>
    </w:p>
    <w:p w:rsidR="009A228F" w:rsidRDefault="009A228F" w:rsidP="00E51902">
      <w:pPr>
        <w:jc w:val="both"/>
        <w:rPr>
          <w:sz w:val="22"/>
          <w:szCs w:val="22"/>
        </w:rPr>
      </w:pPr>
    </w:p>
    <w:p w:rsidR="009A228F" w:rsidRDefault="001E40C8" w:rsidP="009A228F">
      <w:pPr>
        <w:pStyle w:val="Naslov1"/>
        <w:rPr>
          <w:rFonts w:ascii="Times New Roman" w:hAnsi="Times New Roman"/>
          <w:sz w:val="22"/>
          <w:szCs w:val="22"/>
        </w:rPr>
      </w:pPr>
      <w:bookmarkStart w:id="22" w:name="_Toc484687252"/>
      <w:r>
        <w:rPr>
          <w:rFonts w:ascii="Times New Roman" w:hAnsi="Times New Roman"/>
          <w:sz w:val="22"/>
          <w:szCs w:val="22"/>
        </w:rPr>
        <w:t>RAČUN</w:t>
      </w:r>
      <w:r w:rsidR="009A228F">
        <w:rPr>
          <w:rFonts w:ascii="Times New Roman" w:hAnsi="Times New Roman"/>
          <w:sz w:val="22"/>
          <w:szCs w:val="22"/>
        </w:rPr>
        <w:t xml:space="preserve"> FINANČNIH TERJATEV IN NALOŽB</w:t>
      </w:r>
      <w:bookmarkEnd w:id="22"/>
    </w:p>
    <w:p w:rsidR="009A228F" w:rsidRPr="009A228F" w:rsidRDefault="009A228F" w:rsidP="009A228F"/>
    <w:p w:rsidR="009A228F" w:rsidRPr="009A228F" w:rsidRDefault="009A228F" w:rsidP="009A228F">
      <w:pPr>
        <w:jc w:val="both"/>
        <w:rPr>
          <w:b/>
          <w:sz w:val="22"/>
          <w:szCs w:val="22"/>
        </w:rPr>
      </w:pPr>
      <w:r w:rsidRPr="009A228F">
        <w:rPr>
          <w:b/>
          <w:sz w:val="22"/>
          <w:szCs w:val="22"/>
        </w:rPr>
        <w:t>1451 – RTC Krvavec zavezujoča ponudba</w:t>
      </w:r>
    </w:p>
    <w:p w:rsidR="009A228F" w:rsidRPr="00A20A1B" w:rsidRDefault="009A228F" w:rsidP="009A228F">
      <w:pPr>
        <w:jc w:val="both"/>
        <w:rPr>
          <w:b/>
          <w:sz w:val="22"/>
          <w:szCs w:val="22"/>
        </w:rPr>
      </w:pPr>
      <w:r w:rsidRPr="009A228F">
        <w:rPr>
          <w:sz w:val="22"/>
          <w:szCs w:val="22"/>
        </w:rPr>
        <w:t xml:space="preserve">Sredstva ki so bila  namenjena za </w:t>
      </w:r>
      <w:r w:rsidR="00161498">
        <w:rPr>
          <w:sz w:val="22"/>
          <w:szCs w:val="22"/>
        </w:rPr>
        <w:t xml:space="preserve">nakup kapitalskega deleža </w:t>
      </w:r>
      <w:r w:rsidR="00983FF2">
        <w:rPr>
          <w:sz w:val="22"/>
          <w:szCs w:val="22"/>
        </w:rPr>
        <w:t>družbe RTC Krvavec, d.d.</w:t>
      </w:r>
      <w:r w:rsidRPr="009A228F">
        <w:rPr>
          <w:sz w:val="22"/>
          <w:szCs w:val="22"/>
        </w:rPr>
        <w:t xml:space="preserve"> , se zaradi ne realizacije zmanjšajo v vrednosti 995.000 €.</w:t>
      </w:r>
      <w:r>
        <w:rPr>
          <w:sz w:val="22"/>
          <w:szCs w:val="22"/>
        </w:rPr>
        <w:t xml:space="preserve"> </w:t>
      </w:r>
    </w:p>
    <w:p w:rsidR="002C0CCB" w:rsidRDefault="002C0CCB" w:rsidP="003A3C62">
      <w:pPr>
        <w:jc w:val="both"/>
        <w:rPr>
          <w:sz w:val="22"/>
          <w:szCs w:val="22"/>
        </w:rPr>
      </w:pPr>
    </w:p>
    <w:p w:rsidR="002C0CCB" w:rsidRDefault="002C0CCB" w:rsidP="002C0CCB">
      <w:pPr>
        <w:pStyle w:val="Naslov1"/>
        <w:rPr>
          <w:rFonts w:ascii="Times New Roman" w:hAnsi="Times New Roman"/>
          <w:sz w:val="22"/>
          <w:szCs w:val="22"/>
        </w:rPr>
      </w:pPr>
      <w:bookmarkStart w:id="23" w:name="_Toc484687253"/>
      <w:r>
        <w:rPr>
          <w:rFonts w:ascii="Times New Roman" w:hAnsi="Times New Roman"/>
          <w:sz w:val="22"/>
          <w:szCs w:val="22"/>
        </w:rPr>
        <w:t>RAČUN FINANCIRANJA</w:t>
      </w:r>
      <w:bookmarkEnd w:id="23"/>
    </w:p>
    <w:p w:rsidR="002C0CCB" w:rsidRDefault="002C0CCB" w:rsidP="002C0CCB">
      <w:pPr>
        <w:jc w:val="both"/>
        <w:rPr>
          <w:sz w:val="22"/>
          <w:szCs w:val="22"/>
        </w:rPr>
      </w:pPr>
      <w:r>
        <w:rPr>
          <w:b/>
          <w:sz w:val="22"/>
          <w:szCs w:val="22"/>
        </w:rPr>
        <w:t>5001</w:t>
      </w:r>
      <w:r w:rsidRPr="009A228F">
        <w:rPr>
          <w:b/>
          <w:sz w:val="22"/>
          <w:szCs w:val="22"/>
        </w:rPr>
        <w:t xml:space="preserve"> – </w:t>
      </w:r>
      <w:r>
        <w:rPr>
          <w:b/>
          <w:sz w:val="22"/>
          <w:szCs w:val="22"/>
        </w:rPr>
        <w:t>Najeti krediti pri poslovnih bankah</w:t>
      </w:r>
    </w:p>
    <w:p w:rsidR="00A466EC" w:rsidRPr="00B2201F" w:rsidRDefault="002C0CCB" w:rsidP="003A3C62">
      <w:pPr>
        <w:jc w:val="both"/>
        <w:rPr>
          <w:sz w:val="22"/>
          <w:szCs w:val="22"/>
        </w:rPr>
      </w:pPr>
      <w:r>
        <w:rPr>
          <w:sz w:val="22"/>
          <w:szCs w:val="22"/>
        </w:rPr>
        <w:t>Sredstva na kontu najeti krediti pri poslovnih bankah smo zmanjšali za vrednost 400.000 €.</w:t>
      </w:r>
      <w:r w:rsidR="00A466EC" w:rsidRPr="00B2201F">
        <w:rPr>
          <w:sz w:val="22"/>
          <w:szCs w:val="22"/>
        </w:rPr>
        <w:tab/>
      </w:r>
    </w:p>
    <w:p w:rsidR="00D70728" w:rsidRDefault="00D70728" w:rsidP="003A3C62">
      <w:pPr>
        <w:pStyle w:val="Naslov1"/>
        <w:rPr>
          <w:rFonts w:ascii="Times New Roman" w:hAnsi="Times New Roman"/>
          <w:sz w:val="22"/>
          <w:szCs w:val="22"/>
        </w:rPr>
      </w:pPr>
      <w:bookmarkStart w:id="24" w:name="_Toc183314770"/>
      <w:bookmarkStart w:id="25" w:name="_Toc484687254"/>
      <w:r w:rsidRPr="00B2201F">
        <w:rPr>
          <w:rFonts w:ascii="Times New Roman" w:hAnsi="Times New Roman"/>
          <w:sz w:val="22"/>
          <w:szCs w:val="22"/>
        </w:rPr>
        <w:t>NAČRT RAZVOJNIH PROGRAMOV</w:t>
      </w:r>
      <w:bookmarkEnd w:id="24"/>
      <w:bookmarkEnd w:id="25"/>
    </w:p>
    <w:p w:rsidR="009A228F" w:rsidRPr="009A228F" w:rsidRDefault="009A228F" w:rsidP="009A228F"/>
    <w:p w:rsidR="0070600F" w:rsidRPr="00B2201F" w:rsidRDefault="00157824" w:rsidP="007A5DB8">
      <w:pPr>
        <w:jc w:val="both"/>
        <w:rPr>
          <w:sz w:val="22"/>
          <w:szCs w:val="22"/>
        </w:rPr>
      </w:pPr>
      <w:r w:rsidRPr="00B2201F">
        <w:rPr>
          <w:sz w:val="22"/>
          <w:szCs w:val="22"/>
        </w:rPr>
        <w:t xml:space="preserve">V načrtu razvojnih programov se sredstva spremenijo in dopolnijo skladno z rebalansom proračuna. </w:t>
      </w:r>
    </w:p>
    <w:p w:rsidR="003C2DAF" w:rsidRPr="00B703B4" w:rsidRDefault="005A5653" w:rsidP="00B703B4">
      <w:pPr>
        <w:pStyle w:val="Naslov1"/>
        <w:jc w:val="both"/>
        <w:rPr>
          <w:rFonts w:ascii="Times New Roman" w:hAnsi="Times New Roman"/>
          <w:b w:val="0"/>
          <w:sz w:val="22"/>
          <w:szCs w:val="22"/>
        </w:rPr>
      </w:pPr>
      <w:bookmarkStart w:id="26" w:name="_Toc183314771"/>
      <w:bookmarkStart w:id="27" w:name="_Toc238009839"/>
      <w:bookmarkStart w:id="28" w:name="_Toc238009977"/>
      <w:bookmarkStart w:id="29" w:name="_Toc238010633"/>
      <w:bookmarkStart w:id="30" w:name="_Toc238010702"/>
      <w:bookmarkStart w:id="31" w:name="_Toc264376397"/>
      <w:bookmarkStart w:id="32" w:name="_Toc359848741"/>
      <w:bookmarkStart w:id="33" w:name="_Toc359849726"/>
      <w:bookmarkStart w:id="34" w:name="_Toc484687255"/>
      <w:r w:rsidRPr="00B2201F">
        <w:rPr>
          <w:rFonts w:ascii="Times New Roman" w:hAnsi="Times New Roman"/>
          <w:b w:val="0"/>
          <w:sz w:val="22"/>
          <w:szCs w:val="22"/>
        </w:rPr>
        <w:t>V načrt</w:t>
      </w:r>
      <w:r w:rsidR="006A3A02" w:rsidRPr="00B2201F">
        <w:rPr>
          <w:rFonts w:ascii="Times New Roman" w:hAnsi="Times New Roman"/>
          <w:b w:val="0"/>
          <w:sz w:val="22"/>
          <w:szCs w:val="22"/>
        </w:rPr>
        <w:t>u</w:t>
      </w:r>
      <w:r w:rsidRPr="00B2201F">
        <w:rPr>
          <w:rFonts w:ascii="Times New Roman" w:hAnsi="Times New Roman"/>
          <w:b w:val="0"/>
          <w:sz w:val="22"/>
          <w:szCs w:val="22"/>
        </w:rPr>
        <w:t xml:space="preserve"> razvojnih programov so vključeni vsi projekti, ki so v proračunu razporejeni na skupini 42 – Investicijski odhodki in skupini 43 – Investicijski transferi. Vse spremembe v načrtu razvojnih programov so obrazložen</w:t>
      </w:r>
      <w:r w:rsidR="006A3A02" w:rsidRPr="00B2201F">
        <w:rPr>
          <w:rFonts w:ascii="Times New Roman" w:hAnsi="Times New Roman"/>
          <w:b w:val="0"/>
          <w:sz w:val="22"/>
          <w:szCs w:val="22"/>
        </w:rPr>
        <w:t>e</w:t>
      </w:r>
      <w:r w:rsidRPr="00B2201F">
        <w:rPr>
          <w:rFonts w:ascii="Times New Roman" w:hAnsi="Times New Roman"/>
          <w:b w:val="0"/>
          <w:sz w:val="22"/>
          <w:szCs w:val="22"/>
        </w:rPr>
        <w:t xml:space="preserve"> pri posameznih proračunskih postavkah.</w:t>
      </w:r>
      <w:bookmarkEnd w:id="27"/>
      <w:bookmarkEnd w:id="28"/>
      <w:bookmarkEnd w:id="29"/>
      <w:bookmarkEnd w:id="30"/>
      <w:bookmarkEnd w:id="31"/>
      <w:bookmarkEnd w:id="32"/>
      <w:bookmarkEnd w:id="33"/>
      <w:bookmarkEnd w:id="34"/>
    </w:p>
    <w:p w:rsidR="002C0CCB" w:rsidRDefault="002C0CCB" w:rsidP="000E4E5B">
      <w:pPr>
        <w:pStyle w:val="Naslov1"/>
        <w:rPr>
          <w:rFonts w:ascii="Times New Roman" w:hAnsi="Times New Roman"/>
          <w:sz w:val="22"/>
          <w:szCs w:val="22"/>
        </w:rPr>
      </w:pPr>
    </w:p>
    <w:p w:rsidR="00D70728" w:rsidRPr="00B2201F" w:rsidRDefault="008543A7" w:rsidP="000E4E5B">
      <w:pPr>
        <w:pStyle w:val="Naslov1"/>
        <w:rPr>
          <w:rFonts w:ascii="Times New Roman" w:hAnsi="Times New Roman"/>
          <w:sz w:val="22"/>
          <w:szCs w:val="22"/>
        </w:rPr>
      </w:pPr>
      <w:bookmarkStart w:id="35" w:name="_Toc484687256"/>
      <w:r w:rsidRPr="00B2201F">
        <w:rPr>
          <w:rFonts w:ascii="Times New Roman" w:hAnsi="Times New Roman"/>
          <w:sz w:val="22"/>
          <w:szCs w:val="22"/>
        </w:rPr>
        <w:t>SKLEP</w:t>
      </w:r>
      <w:bookmarkEnd w:id="26"/>
      <w:bookmarkEnd w:id="35"/>
    </w:p>
    <w:p w:rsidR="0070600F" w:rsidRPr="00B2201F" w:rsidRDefault="0070600F" w:rsidP="008543A7">
      <w:pPr>
        <w:pStyle w:val="Telobesedila"/>
        <w:ind w:left="540"/>
        <w:jc w:val="both"/>
        <w:rPr>
          <w:sz w:val="22"/>
          <w:szCs w:val="22"/>
          <w:u w:val="single"/>
        </w:rPr>
      </w:pPr>
    </w:p>
    <w:p w:rsidR="00D70728" w:rsidRPr="00B2201F" w:rsidRDefault="00D70728" w:rsidP="005E5168">
      <w:pPr>
        <w:jc w:val="both"/>
        <w:rPr>
          <w:sz w:val="22"/>
          <w:szCs w:val="22"/>
        </w:rPr>
      </w:pPr>
      <w:bookmarkStart w:id="36" w:name="_Toc161545079"/>
      <w:bookmarkStart w:id="37" w:name="_Toc183314772"/>
      <w:r w:rsidRPr="00B2201F">
        <w:rPr>
          <w:sz w:val="22"/>
          <w:szCs w:val="22"/>
        </w:rPr>
        <w:t>Občinskemu svetu predlagam, da sprejme naslednji sklep:</w:t>
      </w:r>
      <w:bookmarkEnd w:id="36"/>
      <w:bookmarkEnd w:id="37"/>
    </w:p>
    <w:p w:rsidR="00A21AF0" w:rsidRPr="00B2201F" w:rsidRDefault="00A21AF0" w:rsidP="005E5168">
      <w:pPr>
        <w:jc w:val="both"/>
        <w:rPr>
          <w:sz w:val="22"/>
          <w:szCs w:val="22"/>
        </w:rPr>
      </w:pPr>
    </w:p>
    <w:p w:rsidR="00157824" w:rsidRPr="00B2201F" w:rsidRDefault="00157824" w:rsidP="005E5168">
      <w:pPr>
        <w:jc w:val="both"/>
        <w:rPr>
          <w:sz w:val="22"/>
          <w:szCs w:val="22"/>
        </w:rPr>
      </w:pPr>
      <w:r w:rsidRPr="00B2201F">
        <w:rPr>
          <w:b/>
          <w:sz w:val="22"/>
          <w:szCs w:val="22"/>
        </w:rPr>
        <w:t xml:space="preserve">Sprejme se Odlok o spremembah in dopolnitvah odloka o proračunu Občine Cerklje na Gorenjskem za leto </w:t>
      </w:r>
      <w:r w:rsidR="009D6FC3">
        <w:rPr>
          <w:b/>
          <w:sz w:val="22"/>
          <w:szCs w:val="22"/>
        </w:rPr>
        <w:t>2017</w:t>
      </w:r>
      <w:r w:rsidRPr="00B2201F">
        <w:rPr>
          <w:b/>
          <w:sz w:val="22"/>
          <w:szCs w:val="22"/>
        </w:rPr>
        <w:t>.</w:t>
      </w:r>
    </w:p>
    <w:p w:rsidR="00157824" w:rsidRPr="00B2201F" w:rsidRDefault="00157824" w:rsidP="00157824">
      <w:pPr>
        <w:jc w:val="both"/>
        <w:rPr>
          <w:sz w:val="22"/>
          <w:szCs w:val="22"/>
        </w:rPr>
      </w:pPr>
    </w:p>
    <w:p w:rsidR="003D3A2D" w:rsidRPr="00B2201F" w:rsidRDefault="003D3A2D" w:rsidP="00157824">
      <w:pPr>
        <w:jc w:val="both"/>
        <w:rPr>
          <w:sz w:val="22"/>
          <w:szCs w:val="22"/>
        </w:rPr>
      </w:pPr>
    </w:p>
    <w:p w:rsidR="00157824" w:rsidRPr="00B2201F" w:rsidRDefault="00157824" w:rsidP="00157824">
      <w:pPr>
        <w:ind w:left="4956"/>
        <w:jc w:val="center"/>
        <w:rPr>
          <w:sz w:val="22"/>
          <w:szCs w:val="22"/>
        </w:rPr>
      </w:pPr>
    </w:p>
    <w:p w:rsidR="00157824" w:rsidRPr="00B2201F" w:rsidRDefault="00157824" w:rsidP="00157824">
      <w:pPr>
        <w:ind w:left="4956"/>
        <w:jc w:val="center"/>
        <w:rPr>
          <w:sz w:val="22"/>
          <w:szCs w:val="22"/>
        </w:rPr>
      </w:pPr>
      <w:r w:rsidRPr="00B2201F">
        <w:rPr>
          <w:sz w:val="22"/>
          <w:szCs w:val="22"/>
        </w:rPr>
        <w:t>Franc Čebulj</w:t>
      </w:r>
      <w:r w:rsidR="00267C7A">
        <w:rPr>
          <w:sz w:val="22"/>
          <w:szCs w:val="22"/>
        </w:rPr>
        <w:t xml:space="preserve"> </w:t>
      </w:r>
      <w:r w:rsidR="008B6FC7">
        <w:rPr>
          <w:sz w:val="22"/>
          <w:szCs w:val="22"/>
        </w:rPr>
        <w:t>l.r</w:t>
      </w:r>
      <w:r w:rsidR="00147E98">
        <w:rPr>
          <w:sz w:val="22"/>
          <w:szCs w:val="22"/>
        </w:rPr>
        <w:t>.</w:t>
      </w:r>
    </w:p>
    <w:p w:rsidR="00FE5FEE" w:rsidRPr="00FA2AD5" w:rsidRDefault="00FE5FEE" w:rsidP="00FA2AD5">
      <w:pPr>
        <w:ind w:left="4956"/>
        <w:rPr>
          <w:sz w:val="22"/>
          <w:szCs w:val="22"/>
        </w:rPr>
      </w:pPr>
    </w:p>
    <w:p w:rsidR="00FE5FEE" w:rsidRPr="00FE5FEE" w:rsidRDefault="00FE5FEE" w:rsidP="00FE5FEE"/>
    <w:p w:rsidR="00353E64" w:rsidRPr="00B2201F" w:rsidRDefault="00353E64" w:rsidP="00A14B85">
      <w:pPr>
        <w:pStyle w:val="Naslov3"/>
        <w:rPr>
          <w:sz w:val="22"/>
          <w:szCs w:val="22"/>
        </w:rPr>
      </w:pPr>
    </w:p>
    <w:p w:rsidR="00353E64" w:rsidRPr="00B2201F" w:rsidRDefault="00353E64" w:rsidP="00A14B85">
      <w:pPr>
        <w:pStyle w:val="Naslov3"/>
        <w:rPr>
          <w:sz w:val="22"/>
          <w:szCs w:val="22"/>
        </w:rPr>
      </w:pPr>
    </w:p>
    <w:p w:rsidR="00D70728" w:rsidRPr="00B2201F" w:rsidRDefault="00D70728" w:rsidP="00A14B85">
      <w:pPr>
        <w:pStyle w:val="Naslov3"/>
        <w:rPr>
          <w:sz w:val="22"/>
          <w:szCs w:val="22"/>
        </w:rPr>
      </w:pPr>
      <w:bookmarkStart w:id="38" w:name="_Toc484687257"/>
      <w:r w:rsidRPr="00B2201F">
        <w:rPr>
          <w:sz w:val="22"/>
          <w:szCs w:val="22"/>
        </w:rPr>
        <w:t>Priloge:</w:t>
      </w:r>
      <w:bookmarkEnd w:id="38"/>
    </w:p>
    <w:p w:rsidR="005A28CD" w:rsidRPr="00B2201F" w:rsidRDefault="00157824" w:rsidP="005A28CD">
      <w:pPr>
        <w:numPr>
          <w:ilvl w:val="0"/>
          <w:numId w:val="27"/>
        </w:numPr>
        <w:jc w:val="both"/>
        <w:rPr>
          <w:sz w:val="22"/>
          <w:szCs w:val="22"/>
        </w:rPr>
      </w:pPr>
      <w:r w:rsidRPr="00B2201F">
        <w:rPr>
          <w:sz w:val="22"/>
          <w:szCs w:val="22"/>
        </w:rPr>
        <w:t xml:space="preserve">Priloga 1: </w:t>
      </w:r>
      <w:r w:rsidR="005A28CD" w:rsidRPr="00B2201F">
        <w:rPr>
          <w:sz w:val="22"/>
          <w:szCs w:val="22"/>
        </w:rPr>
        <w:t xml:space="preserve">Odlok o spremembah in dopolnitvah odloka o proračunu Občine Cerklje na Gorenjskem za leto </w:t>
      </w:r>
      <w:r w:rsidR="00136123">
        <w:rPr>
          <w:sz w:val="22"/>
          <w:szCs w:val="22"/>
        </w:rPr>
        <w:t>2017</w:t>
      </w:r>
      <w:r w:rsidR="00151739" w:rsidRPr="00B2201F">
        <w:rPr>
          <w:sz w:val="22"/>
          <w:szCs w:val="22"/>
        </w:rPr>
        <w:t>.</w:t>
      </w:r>
    </w:p>
    <w:p w:rsidR="00D70728" w:rsidRPr="00B2201F" w:rsidRDefault="00E1538B" w:rsidP="005A28CD">
      <w:pPr>
        <w:numPr>
          <w:ilvl w:val="0"/>
          <w:numId w:val="27"/>
        </w:numPr>
        <w:jc w:val="both"/>
        <w:rPr>
          <w:sz w:val="22"/>
          <w:szCs w:val="22"/>
        </w:rPr>
      </w:pPr>
      <w:r w:rsidRPr="00B2201F">
        <w:rPr>
          <w:sz w:val="22"/>
          <w:szCs w:val="22"/>
        </w:rPr>
        <w:t>Priloga 2: S</w:t>
      </w:r>
      <w:r w:rsidR="00D70728" w:rsidRPr="00B2201F">
        <w:rPr>
          <w:sz w:val="22"/>
          <w:szCs w:val="22"/>
        </w:rPr>
        <w:t>plošni del proračuna (bilanca prihodkov in odhodkov, račun finančnih terjatev in naložb in račun financiranja);</w:t>
      </w:r>
    </w:p>
    <w:p w:rsidR="00D70728" w:rsidRPr="00B2201F" w:rsidRDefault="00E1538B" w:rsidP="005A28CD">
      <w:pPr>
        <w:numPr>
          <w:ilvl w:val="0"/>
          <w:numId w:val="27"/>
        </w:numPr>
        <w:jc w:val="both"/>
        <w:rPr>
          <w:sz w:val="22"/>
          <w:szCs w:val="22"/>
        </w:rPr>
      </w:pPr>
      <w:r w:rsidRPr="00B2201F">
        <w:rPr>
          <w:sz w:val="22"/>
          <w:szCs w:val="22"/>
        </w:rPr>
        <w:t>Priloga 3: P</w:t>
      </w:r>
      <w:r w:rsidR="00D70728" w:rsidRPr="00B2201F">
        <w:rPr>
          <w:sz w:val="22"/>
          <w:szCs w:val="22"/>
        </w:rPr>
        <w:t>osebni del proračuna;</w:t>
      </w:r>
    </w:p>
    <w:p w:rsidR="00D70728" w:rsidRPr="00B2201F" w:rsidRDefault="00E1538B" w:rsidP="005A28CD">
      <w:pPr>
        <w:numPr>
          <w:ilvl w:val="0"/>
          <w:numId w:val="27"/>
        </w:numPr>
        <w:jc w:val="both"/>
        <w:rPr>
          <w:sz w:val="22"/>
          <w:szCs w:val="22"/>
        </w:rPr>
      </w:pPr>
      <w:r w:rsidRPr="00B2201F">
        <w:rPr>
          <w:sz w:val="22"/>
          <w:szCs w:val="22"/>
        </w:rPr>
        <w:t>Priloga 4: N</w:t>
      </w:r>
      <w:r w:rsidR="00D70728" w:rsidRPr="00B2201F">
        <w:rPr>
          <w:sz w:val="22"/>
          <w:szCs w:val="22"/>
        </w:rPr>
        <w:t>ačrt razvojnih programov.</w:t>
      </w:r>
    </w:p>
    <w:p w:rsidR="003C2DAF" w:rsidRPr="00B2201F" w:rsidRDefault="003C2DAF" w:rsidP="003C2DAF">
      <w:pPr>
        <w:rPr>
          <w:sz w:val="22"/>
          <w:szCs w:val="22"/>
        </w:rPr>
      </w:pPr>
    </w:p>
    <w:p w:rsidR="0036317D" w:rsidRDefault="0036317D" w:rsidP="0036317D">
      <w:pPr>
        <w:rPr>
          <w:sz w:val="22"/>
          <w:szCs w:val="22"/>
        </w:rPr>
      </w:pPr>
      <w:r>
        <w:rPr>
          <w:sz w:val="22"/>
          <w:szCs w:val="22"/>
        </w:rPr>
        <w:t>Kazalo tabel:</w:t>
      </w:r>
    </w:p>
    <w:p w:rsidR="0036317D" w:rsidRDefault="0036317D" w:rsidP="008C5CEB">
      <w:pPr>
        <w:ind w:left="6372"/>
        <w:jc w:val="center"/>
        <w:rPr>
          <w:sz w:val="22"/>
          <w:szCs w:val="22"/>
        </w:rPr>
      </w:pPr>
    </w:p>
    <w:p w:rsidR="006D2351" w:rsidRPr="006F1640" w:rsidRDefault="0036317D">
      <w:pPr>
        <w:pStyle w:val="Kazaloslik"/>
        <w:tabs>
          <w:tab w:val="right" w:leader="dot" w:pos="9060"/>
        </w:tabs>
        <w:rPr>
          <w:rFonts w:ascii="Calibri" w:hAnsi="Calibri"/>
          <w:noProof/>
          <w:sz w:val="22"/>
          <w:szCs w:val="22"/>
        </w:rPr>
      </w:pPr>
      <w:r w:rsidRPr="006D2351">
        <w:rPr>
          <w:sz w:val="22"/>
          <w:szCs w:val="22"/>
        </w:rPr>
        <w:fldChar w:fldCharType="begin"/>
      </w:r>
      <w:r w:rsidRPr="006D2351">
        <w:rPr>
          <w:sz w:val="22"/>
          <w:szCs w:val="22"/>
        </w:rPr>
        <w:instrText xml:space="preserve"> TOC \h \z \c "Tabela" </w:instrText>
      </w:r>
      <w:r w:rsidRPr="006D2351">
        <w:rPr>
          <w:sz w:val="22"/>
          <w:szCs w:val="22"/>
        </w:rPr>
        <w:fldChar w:fldCharType="separate"/>
      </w:r>
      <w:hyperlink w:anchor="_Toc484612499" w:history="1">
        <w:r w:rsidR="006D2351" w:rsidRPr="006D2351">
          <w:rPr>
            <w:rStyle w:val="Hiperpovezava"/>
            <w:noProof/>
            <w:sz w:val="22"/>
            <w:szCs w:val="22"/>
          </w:rPr>
          <w:t>Tabela 1 Prerazporeditev sredstev med pod konti in proračunskimi postavkami</w:t>
        </w:r>
        <w:r w:rsidR="006D2351" w:rsidRPr="006D2351">
          <w:rPr>
            <w:noProof/>
            <w:webHidden/>
            <w:sz w:val="22"/>
            <w:szCs w:val="22"/>
          </w:rPr>
          <w:tab/>
        </w:r>
        <w:r w:rsidR="006D2351" w:rsidRPr="006D2351">
          <w:rPr>
            <w:noProof/>
            <w:webHidden/>
            <w:sz w:val="22"/>
            <w:szCs w:val="22"/>
          </w:rPr>
          <w:fldChar w:fldCharType="begin"/>
        </w:r>
        <w:r w:rsidR="006D2351" w:rsidRPr="006D2351">
          <w:rPr>
            <w:noProof/>
            <w:webHidden/>
            <w:sz w:val="22"/>
            <w:szCs w:val="22"/>
          </w:rPr>
          <w:instrText xml:space="preserve"> PAGEREF _Toc484612499 \h </w:instrText>
        </w:r>
        <w:r w:rsidR="006D2351" w:rsidRPr="006D2351">
          <w:rPr>
            <w:noProof/>
            <w:webHidden/>
            <w:sz w:val="22"/>
            <w:szCs w:val="22"/>
          </w:rPr>
        </w:r>
        <w:r w:rsidR="006D2351" w:rsidRPr="006D2351">
          <w:rPr>
            <w:noProof/>
            <w:webHidden/>
            <w:sz w:val="22"/>
            <w:szCs w:val="22"/>
          </w:rPr>
          <w:fldChar w:fldCharType="separate"/>
        </w:r>
        <w:r w:rsidR="00C76CFF">
          <w:rPr>
            <w:noProof/>
            <w:webHidden/>
            <w:sz w:val="22"/>
            <w:szCs w:val="22"/>
          </w:rPr>
          <w:t>3</w:t>
        </w:r>
        <w:r w:rsidR="006D2351" w:rsidRPr="006D2351">
          <w:rPr>
            <w:noProof/>
            <w:webHidden/>
            <w:sz w:val="22"/>
            <w:szCs w:val="22"/>
          </w:rPr>
          <w:fldChar w:fldCharType="end"/>
        </w:r>
      </w:hyperlink>
    </w:p>
    <w:p w:rsidR="006D2351" w:rsidRPr="006F1640" w:rsidRDefault="006D2351">
      <w:pPr>
        <w:pStyle w:val="Kazaloslik"/>
        <w:tabs>
          <w:tab w:val="right" w:leader="dot" w:pos="9060"/>
        </w:tabs>
        <w:rPr>
          <w:rFonts w:ascii="Calibri" w:hAnsi="Calibri"/>
          <w:noProof/>
          <w:sz w:val="22"/>
          <w:szCs w:val="22"/>
        </w:rPr>
      </w:pPr>
      <w:hyperlink w:anchor="_Toc484612500" w:history="1">
        <w:r w:rsidRPr="006D2351">
          <w:rPr>
            <w:rStyle w:val="Hiperpovezava"/>
            <w:noProof/>
            <w:sz w:val="22"/>
            <w:szCs w:val="22"/>
          </w:rPr>
          <w:t>Tabela 2 Rebalans v primerjavi s sprejetimi proračunom za leto 2017 v €</w:t>
        </w:r>
        <w:r w:rsidRPr="006D2351">
          <w:rPr>
            <w:noProof/>
            <w:webHidden/>
            <w:sz w:val="22"/>
            <w:szCs w:val="22"/>
          </w:rPr>
          <w:tab/>
        </w:r>
        <w:r w:rsidRPr="006D2351">
          <w:rPr>
            <w:noProof/>
            <w:webHidden/>
            <w:sz w:val="22"/>
            <w:szCs w:val="22"/>
          </w:rPr>
          <w:fldChar w:fldCharType="begin"/>
        </w:r>
        <w:r w:rsidRPr="006D2351">
          <w:rPr>
            <w:noProof/>
            <w:webHidden/>
            <w:sz w:val="22"/>
            <w:szCs w:val="22"/>
          </w:rPr>
          <w:instrText xml:space="preserve"> PAGEREF _Toc484612500 \h </w:instrText>
        </w:r>
        <w:r w:rsidRPr="006D2351">
          <w:rPr>
            <w:noProof/>
            <w:webHidden/>
            <w:sz w:val="22"/>
            <w:szCs w:val="22"/>
          </w:rPr>
        </w:r>
        <w:r w:rsidRPr="006D2351">
          <w:rPr>
            <w:noProof/>
            <w:webHidden/>
            <w:sz w:val="22"/>
            <w:szCs w:val="22"/>
          </w:rPr>
          <w:fldChar w:fldCharType="separate"/>
        </w:r>
        <w:r w:rsidR="00C76CFF">
          <w:rPr>
            <w:noProof/>
            <w:webHidden/>
            <w:sz w:val="22"/>
            <w:szCs w:val="22"/>
          </w:rPr>
          <w:t>3</w:t>
        </w:r>
        <w:r w:rsidRPr="006D2351">
          <w:rPr>
            <w:noProof/>
            <w:webHidden/>
            <w:sz w:val="22"/>
            <w:szCs w:val="22"/>
          </w:rPr>
          <w:fldChar w:fldCharType="end"/>
        </w:r>
      </w:hyperlink>
    </w:p>
    <w:p w:rsidR="006D2351" w:rsidRPr="006F1640" w:rsidRDefault="006D2351">
      <w:pPr>
        <w:pStyle w:val="Kazaloslik"/>
        <w:tabs>
          <w:tab w:val="right" w:leader="dot" w:pos="9060"/>
        </w:tabs>
        <w:rPr>
          <w:rFonts w:ascii="Calibri" w:hAnsi="Calibri"/>
          <w:noProof/>
          <w:sz w:val="22"/>
          <w:szCs w:val="22"/>
        </w:rPr>
      </w:pPr>
      <w:hyperlink w:anchor="_Toc484612501" w:history="1">
        <w:r w:rsidRPr="006D2351">
          <w:rPr>
            <w:rStyle w:val="Hiperpovezava"/>
            <w:noProof/>
            <w:sz w:val="22"/>
            <w:szCs w:val="22"/>
          </w:rPr>
          <w:t>Tabela 3 Primerjava prihodkov v rebalansu proračuna v primerjavi s sprejetim proračunom v €</w:t>
        </w:r>
        <w:r w:rsidRPr="006D2351">
          <w:rPr>
            <w:noProof/>
            <w:webHidden/>
            <w:sz w:val="22"/>
            <w:szCs w:val="22"/>
          </w:rPr>
          <w:tab/>
        </w:r>
        <w:r w:rsidRPr="006D2351">
          <w:rPr>
            <w:noProof/>
            <w:webHidden/>
            <w:sz w:val="22"/>
            <w:szCs w:val="22"/>
          </w:rPr>
          <w:fldChar w:fldCharType="begin"/>
        </w:r>
        <w:r w:rsidRPr="006D2351">
          <w:rPr>
            <w:noProof/>
            <w:webHidden/>
            <w:sz w:val="22"/>
            <w:szCs w:val="22"/>
          </w:rPr>
          <w:instrText xml:space="preserve"> PAGEREF _Toc484612501 \h </w:instrText>
        </w:r>
        <w:r w:rsidRPr="006D2351">
          <w:rPr>
            <w:noProof/>
            <w:webHidden/>
            <w:sz w:val="22"/>
            <w:szCs w:val="22"/>
          </w:rPr>
        </w:r>
        <w:r w:rsidRPr="006D2351">
          <w:rPr>
            <w:noProof/>
            <w:webHidden/>
            <w:sz w:val="22"/>
            <w:szCs w:val="22"/>
          </w:rPr>
          <w:fldChar w:fldCharType="separate"/>
        </w:r>
        <w:r w:rsidR="00C76CFF">
          <w:rPr>
            <w:noProof/>
            <w:webHidden/>
            <w:sz w:val="22"/>
            <w:szCs w:val="22"/>
          </w:rPr>
          <w:t>4</w:t>
        </w:r>
        <w:r w:rsidRPr="006D2351">
          <w:rPr>
            <w:noProof/>
            <w:webHidden/>
            <w:sz w:val="22"/>
            <w:szCs w:val="22"/>
          </w:rPr>
          <w:fldChar w:fldCharType="end"/>
        </w:r>
      </w:hyperlink>
    </w:p>
    <w:p w:rsidR="006D2351" w:rsidRPr="006F1640" w:rsidRDefault="006D2351">
      <w:pPr>
        <w:pStyle w:val="Kazaloslik"/>
        <w:tabs>
          <w:tab w:val="right" w:leader="dot" w:pos="9060"/>
        </w:tabs>
        <w:rPr>
          <w:rFonts w:ascii="Calibri" w:hAnsi="Calibri"/>
          <w:noProof/>
          <w:sz w:val="22"/>
          <w:szCs w:val="22"/>
        </w:rPr>
      </w:pPr>
      <w:hyperlink w:anchor="_Toc484612502" w:history="1">
        <w:r w:rsidRPr="006D2351">
          <w:rPr>
            <w:rStyle w:val="Hiperpovezava"/>
            <w:noProof/>
            <w:sz w:val="22"/>
            <w:szCs w:val="22"/>
          </w:rPr>
          <w:t>Tabela 4 Primerjava odhodkov v rebalansu proračuna v primerjavi s sprejetim proračunom v €</w:t>
        </w:r>
        <w:r w:rsidRPr="006D2351">
          <w:rPr>
            <w:noProof/>
            <w:webHidden/>
            <w:sz w:val="22"/>
            <w:szCs w:val="22"/>
          </w:rPr>
          <w:tab/>
        </w:r>
        <w:r w:rsidRPr="006D2351">
          <w:rPr>
            <w:noProof/>
            <w:webHidden/>
            <w:sz w:val="22"/>
            <w:szCs w:val="22"/>
          </w:rPr>
          <w:fldChar w:fldCharType="begin"/>
        </w:r>
        <w:r w:rsidRPr="006D2351">
          <w:rPr>
            <w:noProof/>
            <w:webHidden/>
            <w:sz w:val="22"/>
            <w:szCs w:val="22"/>
          </w:rPr>
          <w:instrText xml:space="preserve"> PAGEREF _Toc484612502 \h </w:instrText>
        </w:r>
        <w:r w:rsidRPr="006D2351">
          <w:rPr>
            <w:noProof/>
            <w:webHidden/>
            <w:sz w:val="22"/>
            <w:szCs w:val="22"/>
          </w:rPr>
        </w:r>
        <w:r w:rsidRPr="006D2351">
          <w:rPr>
            <w:noProof/>
            <w:webHidden/>
            <w:sz w:val="22"/>
            <w:szCs w:val="22"/>
          </w:rPr>
          <w:fldChar w:fldCharType="separate"/>
        </w:r>
        <w:r w:rsidR="00C76CFF">
          <w:rPr>
            <w:noProof/>
            <w:webHidden/>
            <w:sz w:val="22"/>
            <w:szCs w:val="22"/>
          </w:rPr>
          <w:t>4</w:t>
        </w:r>
        <w:r w:rsidRPr="006D2351">
          <w:rPr>
            <w:noProof/>
            <w:webHidden/>
            <w:sz w:val="22"/>
            <w:szCs w:val="22"/>
          </w:rPr>
          <w:fldChar w:fldCharType="end"/>
        </w:r>
      </w:hyperlink>
    </w:p>
    <w:p w:rsidR="006D2351" w:rsidRPr="006F1640" w:rsidRDefault="006D2351">
      <w:pPr>
        <w:pStyle w:val="Kazaloslik"/>
        <w:tabs>
          <w:tab w:val="right" w:leader="dot" w:pos="9060"/>
        </w:tabs>
        <w:rPr>
          <w:rFonts w:ascii="Calibri" w:hAnsi="Calibri"/>
          <w:noProof/>
          <w:sz w:val="22"/>
          <w:szCs w:val="22"/>
        </w:rPr>
      </w:pPr>
      <w:hyperlink w:anchor="_Toc484612503" w:history="1">
        <w:r w:rsidRPr="006D2351">
          <w:rPr>
            <w:rStyle w:val="Hiperpovezava"/>
            <w:noProof/>
            <w:sz w:val="22"/>
            <w:szCs w:val="22"/>
          </w:rPr>
          <w:t>Tabela 5 Sredstva za kritje odhodkov in izdatkov iz proračuna</w:t>
        </w:r>
        <w:r w:rsidRPr="006D2351">
          <w:rPr>
            <w:noProof/>
            <w:webHidden/>
            <w:sz w:val="22"/>
            <w:szCs w:val="22"/>
          </w:rPr>
          <w:tab/>
        </w:r>
        <w:r w:rsidRPr="006D2351">
          <w:rPr>
            <w:noProof/>
            <w:webHidden/>
            <w:sz w:val="22"/>
            <w:szCs w:val="22"/>
          </w:rPr>
          <w:fldChar w:fldCharType="begin"/>
        </w:r>
        <w:r w:rsidRPr="006D2351">
          <w:rPr>
            <w:noProof/>
            <w:webHidden/>
            <w:sz w:val="22"/>
            <w:szCs w:val="22"/>
          </w:rPr>
          <w:instrText xml:space="preserve"> PAGEREF _Toc484612503 \h </w:instrText>
        </w:r>
        <w:r w:rsidRPr="006D2351">
          <w:rPr>
            <w:noProof/>
            <w:webHidden/>
            <w:sz w:val="22"/>
            <w:szCs w:val="22"/>
          </w:rPr>
        </w:r>
        <w:r w:rsidRPr="006D2351">
          <w:rPr>
            <w:noProof/>
            <w:webHidden/>
            <w:sz w:val="22"/>
            <w:szCs w:val="22"/>
          </w:rPr>
          <w:fldChar w:fldCharType="separate"/>
        </w:r>
        <w:r w:rsidR="00C76CFF">
          <w:rPr>
            <w:noProof/>
            <w:webHidden/>
            <w:sz w:val="22"/>
            <w:szCs w:val="22"/>
          </w:rPr>
          <w:t>5</w:t>
        </w:r>
        <w:r w:rsidRPr="006D2351">
          <w:rPr>
            <w:noProof/>
            <w:webHidden/>
            <w:sz w:val="22"/>
            <w:szCs w:val="22"/>
          </w:rPr>
          <w:fldChar w:fldCharType="end"/>
        </w:r>
      </w:hyperlink>
    </w:p>
    <w:p w:rsidR="0036317D" w:rsidRDefault="0036317D" w:rsidP="008C5CEB">
      <w:pPr>
        <w:ind w:left="6372"/>
        <w:jc w:val="center"/>
        <w:rPr>
          <w:sz w:val="24"/>
        </w:rPr>
      </w:pPr>
      <w:r w:rsidRPr="006D2351">
        <w:rPr>
          <w:sz w:val="22"/>
          <w:szCs w:val="22"/>
        </w:rPr>
        <w:fldChar w:fldCharType="end"/>
      </w:r>
    </w:p>
    <w:sectPr w:rsidR="0036317D" w:rsidSect="00A33402">
      <w:footerReference w:type="even" r:id="rId9"/>
      <w:footerReference w:type="default" r:id="rId10"/>
      <w:pgSz w:w="11906" w:h="16838" w:code="9"/>
      <w:pgMar w:top="1418" w:right="1418" w:bottom="1418" w:left="1418" w:header="708" w:footer="737" w:gutter="0"/>
      <w:paperSrc w:first="4" w:other="4"/>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CE" w:rsidRDefault="002D5DCE">
      <w:r>
        <w:separator/>
      </w:r>
    </w:p>
  </w:endnote>
  <w:endnote w:type="continuationSeparator" w:id="0">
    <w:p w:rsidR="002D5DCE" w:rsidRDefault="002D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29" w:rsidRDefault="00112D29" w:rsidP="00E21B9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12D29" w:rsidRDefault="00112D2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29" w:rsidRPr="00094647" w:rsidRDefault="00112D29" w:rsidP="00E21B9E">
    <w:pPr>
      <w:pStyle w:val="Noga"/>
      <w:framePr w:wrap="around" w:vAnchor="text" w:hAnchor="margin" w:xAlign="center" w:y="1"/>
      <w:rPr>
        <w:rStyle w:val="tevilkastrani"/>
        <w:sz w:val="20"/>
      </w:rPr>
    </w:pPr>
    <w:r w:rsidRPr="00094647">
      <w:rPr>
        <w:rStyle w:val="tevilkastrani"/>
        <w:sz w:val="20"/>
      </w:rPr>
      <w:fldChar w:fldCharType="begin"/>
    </w:r>
    <w:r w:rsidRPr="00094647">
      <w:rPr>
        <w:rStyle w:val="tevilkastrani"/>
        <w:sz w:val="20"/>
      </w:rPr>
      <w:instrText xml:space="preserve">PAGE  </w:instrText>
    </w:r>
    <w:r w:rsidRPr="00094647">
      <w:rPr>
        <w:rStyle w:val="tevilkastrani"/>
        <w:sz w:val="20"/>
      </w:rPr>
      <w:fldChar w:fldCharType="separate"/>
    </w:r>
    <w:r w:rsidR="00C76CFF">
      <w:rPr>
        <w:rStyle w:val="tevilkastrani"/>
        <w:noProof/>
        <w:sz w:val="20"/>
      </w:rPr>
      <w:t>11</w:t>
    </w:r>
    <w:r w:rsidRPr="00094647">
      <w:rPr>
        <w:rStyle w:val="tevilkastrani"/>
        <w:sz w:val="20"/>
      </w:rPr>
      <w:fldChar w:fldCharType="end"/>
    </w:r>
  </w:p>
  <w:p w:rsidR="00112D29" w:rsidRDefault="00112D29" w:rsidP="00A3340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CE" w:rsidRDefault="002D5DCE">
      <w:r>
        <w:separator/>
      </w:r>
    </w:p>
  </w:footnote>
  <w:footnote w:type="continuationSeparator" w:id="0">
    <w:p w:rsidR="002D5DCE" w:rsidRDefault="002D5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1F1B"/>
    <w:multiLevelType w:val="hybridMultilevel"/>
    <w:tmpl w:val="1422AED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A1B87"/>
    <w:multiLevelType w:val="hybridMultilevel"/>
    <w:tmpl w:val="5AF02432"/>
    <w:lvl w:ilvl="0" w:tplc="0424000F">
      <w:start w:val="1"/>
      <w:numFmt w:val="decimal"/>
      <w:lvlText w:val="%1."/>
      <w:lvlJc w:val="left"/>
      <w:pPr>
        <w:tabs>
          <w:tab w:val="num" w:pos="1068"/>
        </w:tabs>
        <w:ind w:left="1068" w:hanging="360"/>
      </w:p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 w15:restartNumberingAfterBreak="0">
    <w:nsid w:val="0E0336C4"/>
    <w:multiLevelType w:val="hybridMultilevel"/>
    <w:tmpl w:val="6B4CC50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CD5ABD"/>
    <w:multiLevelType w:val="hybridMultilevel"/>
    <w:tmpl w:val="53565E8C"/>
    <w:lvl w:ilvl="0" w:tplc="04240005">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F5027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D5CA0"/>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23536D5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FB5638"/>
    <w:multiLevelType w:val="hybridMultilevel"/>
    <w:tmpl w:val="C158C36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73C68F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6B5A2F"/>
    <w:multiLevelType w:val="singleLevel"/>
    <w:tmpl w:val="965A8EAC"/>
    <w:lvl w:ilvl="0">
      <w:start w:val="4"/>
      <w:numFmt w:val="decimalZero"/>
      <w:pStyle w:val="Naslov5"/>
      <w:lvlText w:val="%1"/>
      <w:lvlJc w:val="left"/>
      <w:pPr>
        <w:tabs>
          <w:tab w:val="num" w:pos="480"/>
        </w:tabs>
        <w:ind w:left="480" w:hanging="480"/>
      </w:pPr>
      <w:rPr>
        <w:rFonts w:hint="default"/>
      </w:rPr>
    </w:lvl>
  </w:abstractNum>
  <w:abstractNum w:abstractNumId="10" w15:restartNumberingAfterBreak="0">
    <w:nsid w:val="2A5E24B3"/>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2DBF3D33"/>
    <w:multiLevelType w:val="hybridMultilevel"/>
    <w:tmpl w:val="A8B2256A"/>
    <w:lvl w:ilvl="0" w:tplc="699889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F51039"/>
    <w:multiLevelType w:val="hybridMultilevel"/>
    <w:tmpl w:val="07E8A6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E627BC3"/>
    <w:multiLevelType w:val="hybridMultilevel"/>
    <w:tmpl w:val="BA2CBA58"/>
    <w:lvl w:ilvl="0" w:tplc="ACB662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EB0B8B"/>
    <w:multiLevelType w:val="hybridMultilevel"/>
    <w:tmpl w:val="E15AFD86"/>
    <w:lvl w:ilvl="0" w:tplc="04240013">
      <w:start w:val="1"/>
      <w:numFmt w:val="upperRoman"/>
      <w:lvlText w:val="%1."/>
      <w:lvlJc w:val="right"/>
      <w:pPr>
        <w:tabs>
          <w:tab w:val="num" w:pos="720"/>
        </w:tabs>
        <w:ind w:left="720" w:hanging="180"/>
      </w:pPr>
    </w:lvl>
    <w:lvl w:ilvl="1" w:tplc="04240015">
      <w:start w:val="1"/>
      <w:numFmt w:val="upperLetter"/>
      <w:lvlText w:val="%2."/>
      <w:lvlJc w:val="left"/>
      <w:pPr>
        <w:tabs>
          <w:tab w:val="num" w:pos="900"/>
        </w:tabs>
        <w:ind w:left="90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9B26CAB"/>
    <w:multiLevelType w:val="hybridMultilevel"/>
    <w:tmpl w:val="3B80E5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9B72C0A"/>
    <w:multiLevelType w:val="hybridMultilevel"/>
    <w:tmpl w:val="5F665E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1FA290F"/>
    <w:multiLevelType w:val="hybridMultilevel"/>
    <w:tmpl w:val="CAFCAA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25C6C2B"/>
    <w:multiLevelType w:val="hybridMultilevel"/>
    <w:tmpl w:val="D902DE82"/>
    <w:lvl w:ilvl="0" w:tplc="04240005">
      <w:start w:val="1"/>
      <w:numFmt w:val="bullet"/>
      <w:lvlText w:val=""/>
      <w:lvlJc w:val="left"/>
      <w:pPr>
        <w:tabs>
          <w:tab w:val="num" w:pos="1428"/>
        </w:tabs>
        <w:ind w:left="1428" w:hanging="360"/>
      </w:pPr>
      <w:rPr>
        <w:rFonts w:ascii="Wingdings" w:hAnsi="Wingdings"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58055D6"/>
    <w:multiLevelType w:val="hybridMultilevel"/>
    <w:tmpl w:val="824291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7CF6BAF"/>
    <w:multiLevelType w:val="hybridMultilevel"/>
    <w:tmpl w:val="14BE07F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90443F5"/>
    <w:multiLevelType w:val="hybridMultilevel"/>
    <w:tmpl w:val="B22AA54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3B1E1B"/>
    <w:multiLevelType w:val="hybridMultilevel"/>
    <w:tmpl w:val="3932A5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766E56"/>
    <w:multiLevelType w:val="hybridMultilevel"/>
    <w:tmpl w:val="45761A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15B2C"/>
    <w:multiLevelType w:val="hybridMultilevel"/>
    <w:tmpl w:val="F72AA79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DC7B3C"/>
    <w:multiLevelType w:val="hybridMultilevel"/>
    <w:tmpl w:val="E32481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27634"/>
    <w:multiLevelType w:val="hybridMultilevel"/>
    <w:tmpl w:val="3B0E0C1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7D5E14"/>
    <w:multiLevelType w:val="hybridMultilevel"/>
    <w:tmpl w:val="01B027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0D903C9"/>
    <w:multiLevelType w:val="hybridMultilevel"/>
    <w:tmpl w:val="DE726144"/>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CCB503F"/>
    <w:multiLevelType w:val="singleLevel"/>
    <w:tmpl w:val="0424000F"/>
    <w:lvl w:ilvl="0">
      <w:start w:val="1"/>
      <w:numFmt w:val="decimal"/>
      <w:lvlText w:val="%1."/>
      <w:lvlJc w:val="left"/>
      <w:pPr>
        <w:tabs>
          <w:tab w:val="num" w:pos="360"/>
        </w:tabs>
        <w:ind w:left="360" w:hanging="360"/>
      </w:pPr>
    </w:lvl>
  </w:abstractNum>
  <w:abstractNum w:abstractNumId="30" w15:restartNumberingAfterBreak="0">
    <w:nsid w:val="7EBB334C"/>
    <w:multiLevelType w:val="hybridMultilevel"/>
    <w:tmpl w:val="48400E26"/>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9"/>
  </w:num>
  <w:num w:numId="3">
    <w:abstractNumId w:val="10"/>
  </w:num>
  <w:num w:numId="4">
    <w:abstractNumId w:val="8"/>
  </w:num>
  <w:num w:numId="5">
    <w:abstractNumId w:val="6"/>
  </w:num>
  <w:num w:numId="6">
    <w:abstractNumId w:val="4"/>
  </w:num>
  <w:num w:numId="7">
    <w:abstractNumId w:val="25"/>
  </w:num>
  <w:num w:numId="8">
    <w:abstractNumId w:val="21"/>
  </w:num>
  <w:num w:numId="9">
    <w:abstractNumId w:val="24"/>
  </w:num>
  <w:num w:numId="10">
    <w:abstractNumId w:val="27"/>
  </w:num>
  <w:num w:numId="11">
    <w:abstractNumId w:val="15"/>
  </w:num>
  <w:num w:numId="12">
    <w:abstractNumId w:val="18"/>
  </w:num>
  <w:num w:numId="13">
    <w:abstractNumId w:val="3"/>
  </w:num>
  <w:num w:numId="14">
    <w:abstractNumId w:val="22"/>
  </w:num>
  <w:num w:numId="15">
    <w:abstractNumId w:val="0"/>
  </w:num>
  <w:num w:numId="16">
    <w:abstractNumId w:val="14"/>
  </w:num>
  <w:num w:numId="17">
    <w:abstractNumId w:val="26"/>
  </w:num>
  <w:num w:numId="18">
    <w:abstractNumId w:val="28"/>
  </w:num>
  <w:num w:numId="19">
    <w:abstractNumId w:val="2"/>
  </w:num>
  <w:num w:numId="20">
    <w:abstractNumId w:val="19"/>
  </w:num>
  <w:num w:numId="21">
    <w:abstractNumId w:val="17"/>
  </w:num>
  <w:num w:numId="22">
    <w:abstractNumId w:val="30"/>
  </w:num>
  <w:num w:numId="23">
    <w:abstractNumId w:val="7"/>
  </w:num>
  <w:num w:numId="24">
    <w:abstractNumId w:val="16"/>
  </w:num>
  <w:num w:numId="25">
    <w:abstractNumId w:val="5"/>
  </w:num>
  <w:num w:numId="26">
    <w:abstractNumId w:val="23"/>
  </w:num>
  <w:num w:numId="27">
    <w:abstractNumId w:val="1"/>
  </w:num>
  <w:num w:numId="28">
    <w:abstractNumId w:val="20"/>
  </w:num>
  <w:num w:numId="29">
    <w:abstractNumId w:val="12"/>
  </w:num>
  <w:num w:numId="30">
    <w:abstractNumId w:val="11"/>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D"/>
    <w:rsid w:val="00005325"/>
    <w:rsid w:val="0001547D"/>
    <w:rsid w:val="00015A08"/>
    <w:rsid w:val="000218AC"/>
    <w:rsid w:val="0003032D"/>
    <w:rsid w:val="000322C8"/>
    <w:rsid w:val="000322CB"/>
    <w:rsid w:val="00033E38"/>
    <w:rsid w:val="00037B78"/>
    <w:rsid w:val="0004090E"/>
    <w:rsid w:val="00053968"/>
    <w:rsid w:val="00054390"/>
    <w:rsid w:val="000577A0"/>
    <w:rsid w:val="00071F1C"/>
    <w:rsid w:val="0007410C"/>
    <w:rsid w:val="00075FE4"/>
    <w:rsid w:val="000771D2"/>
    <w:rsid w:val="00082127"/>
    <w:rsid w:val="00086E1F"/>
    <w:rsid w:val="00087BA0"/>
    <w:rsid w:val="00092B15"/>
    <w:rsid w:val="00094647"/>
    <w:rsid w:val="000A3E65"/>
    <w:rsid w:val="000A49E0"/>
    <w:rsid w:val="000A66C4"/>
    <w:rsid w:val="000B1AF2"/>
    <w:rsid w:val="000B1E54"/>
    <w:rsid w:val="000B2054"/>
    <w:rsid w:val="000B3709"/>
    <w:rsid w:val="000B5189"/>
    <w:rsid w:val="000C0B96"/>
    <w:rsid w:val="000C32A5"/>
    <w:rsid w:val="000C57CA"/>
    <w:rsid w:val="000C5D0F"/>
    <w:rsid w:val="000C7474"/>
    <w:rsid w:val="000D01B9"/>
    <w:rsid w:val="000D142B"/>
    <w:rsid w:val="000D19C9"/>
    <w:rsid w:val="000D2F89"/>
    <w:rsid w:val="000E03F4"/>
    <w:rsid w:val="000E199D"/>
    <w:rsid w:val="000E4E5B"/>
    <w:rsid w:val="000E6032"/>
    <w:rsid w:val="000F0E6F"/>
    <w:rsid w:val="000F1D94"/>
    <w:rsid w:val="000F3DBE"/>
    <w:rsid w:val="000F4EBC"/>
    <w:rsid w:val="0010498C"/>
    <w:rsid w:val="00106771"/>
    <w:rsid w:val="00106966"/>
    <w:rsid w:val="00110826"/>
    <w:rsid w:val="00110FBD"/>
    <w:rsid w:val="00112D29"/>
    <w:rsid w:val="00112E16"/>
    <w:rsid w:val="001132A2"/>
    <w:rsid w:val="00116C93"/>
    <w:rsid w:val="0011787C"/>
    <w:rsid w:val="00123D85"/>
    <w:rsid w:val="00125032"/>
    <w:rsid w:val="00125589"/>
    <w:rsid w:val="00126A00"/>
    <w:rsid w:val="001360A1"/>
    <w:rsid w:val="00136123"/>
    <w:rsid w:val="001401B4"/>
    <w:rsid w:val="001455C8"/>
    <w:rsid w:val="00146D36"/>
    <w:rsid w:val="00147E98"/>
    <w:rsid w:val="001507D6"/>
    <w:rsid w:val="00151739"/>
    <w:rsid w:val="0015334F"/>
    <w:rsid w:val="00157824"/>
    <w:rsid w:val="001602D3"/>
    <w:rsid w:val="00161498"/>
    <w:rsid w:val="00161892"/>
    <w:rsid w:val="00174B78"/>
    <w:rsid w:val="0018001F"/>
    <w:rsid w:val="001850B5"/>
    <w:rsid w:val="001866BB"/>
    <w:rsid w:val="00186F09"/>
    <w:rsid w:val="00187E3F"/>
    <w:rsid w:val="001908E6"/>
    <w:rsid w:val="001925E2"/>
    <w:rsid w:val="001932C6"/>
    <w:rsid w:val="001A0310"/>
    <w:rsid w:val="001A2C8B"/>
    <w:rsid w:val="001A7D5E"/>
    <w:rsid w:val="001B07A2"/>
    <w:rsid w:val="001B0C54"/>
    <w:rsid w:val="001B59A4"/>
    <w:rsid w:val="001B636C"/>
    <w:rsid w:val="001B7B54"/>
    <w:rsid w:val="001B7BCF"/>
    <w:rsid w:val="001C3309"/>
    <w:rsid w:val="001C52F8"/>
    <w:rsid w:val="001D0552"/>
    <w:rsid w:val="001D18C8"/>
    <w:rsid w:val="001D4CB3"/>
    <w:rsid w:val="001E065C"/>
    <w:rsid w:val="001E0810"/>
    <w:rsid w:val="001E2414"/>
    <w:rsid w:val="001E40C8"/>
    <w:rsid w:val="001E4D04"/>
    <w:rsid w:val="001E5222"/>
    <w:rsid w:val="001E6CD3"/>
    <w:rsid w:val="001F0DEE"/>
    <w:rsid w:val="001F4E4C"/>
    <w:rsid w:val="001F6B64"/>
    <w:rsid w:val="001F772E"/>
    <w:rsid w:val="00211D04"/>
    <w:rsid w:val="00212AC2"/>
    <w:rsid w:val="00224ED1"/>
    <w:rsid w:val="00231B00"/>
    <w:rsid w:val="00234487"/>
    <w:rsid w:val="00235006"/>
    <w:rsid w:val="00235236"/>
    <w:rsid w:val="00237E15"/>
    <w:rsid w:val="00240A87"/>
    <w:rsid w:val="002429BD"/>
    <w:rsid w:val="0024313F"/>
    <w:rsid w:val="00243CC9"/>
    <w:rsid w:val="00244A46"/>
    <w:rsid w:val="00247AA2"/>
    <w:rsid w:val="00253540"/>
    <w:rsid w:val="00254B2E"/>
    <w:rsid w:val="00260255"/>
    <w:rsid w:val="002642F7"/>
    <w:rsid w:val="0026521C"/>
    <w:rsid w:val="00267C7A"/>
    <w:rsid w:val="0027074D"/>
    <w:rsid w:val="00270A61"/>
    <w:rsid w:val="002752EA"/>
    <w:rsid w:val="002828B4"/>
    <w:rsid w:val="00285154"/>
    <w:rsid w:val="0028786B"/>
    <w:rsid w:val="00290B71"/>
    <w:rsid w:val="00291087"/>
    <w:rsid w:val="00291861"/>
    <w:rsid w:val="00295BF5"/>
    <w:rsid w:val="00295E08"/>
    <w:rsid w:val="002A08CF"/>
    <w:rsid w:val="002A22D4"/>
    <w:rsid w:val="002A2422"/>
    <w:rsid w:val="002A3243"/>
    <w:rsid w:val="002A4114"/>
    <w:rsid w:val="002A5470"/>
    <w:rsid w:val="002A65D4"/>
    <w:rsid w:val="002A7A89"/>
    <w:rsid w:val="002B3F01"/>
    <w:rsid w:val="002B4F6F"/>
    <w:rsid w:val="002B5EB8"/>
    <w:rsid w:val="002B624A"/>
    <w:rsid w:val="002C0CCB"/>
    <w:rsid w:val="002C5998"/>
    <w:rsid w:val="002C7C69"/>
    <w:rsid w:val="002D05CF"/>
    <w:rsid w:val="002D0FDA"/>
    <w:rsid w:val="002D1653"/>
    <w:rsid w:val="002D2BA4"/>
    <w:rsid w:val="002D5DCE"/>
    <w:rsid w:val="002D6413"/>
    <w:rsid w:val="002D6848"/>
    <w:rsid w:val="002D6F34"/>
    <w:rsid w:val="002D76E9"/>
    <w:rsid w:val="002E12F9"/>
    <w:rsid w:val="002E1306"/>
    <w:rsid w:val="002E3AD9"/>
    <w:rsid w:val="002E4D88"/>
    <w:rsid w:val="002F47AE"/>
    <w:rsid w:val="00300CA9"/>
    <w:rsid w:val="0030136F"/>
    <w:rsid w:val="00302F12"/>
    <w:rsid w:val="00303B18"/>
    <w:rsid w:val="00306342"/>
    <w:rsid w:val="003144E7"/>
    <w:rsid w:val="00314E22"/>
    <w:rsid w:val="00315C3C"/>
    <w:rsid w:val="0031768E"/>
    <w:rsid w:val="00325402"/>
    <w:rsid w:val="003310F1"/>
    <w:rsid w:val="00331D7D"/>
    <w:rsid w:val="00335C21"/>
    <w:rsid w:val="0034013D"/>
    <w:rsid w:val="00342A60"/>
    <w:rsid w:val="00343AA6"/>
    <w:rsid w:val="00353CF2"/>
    <w:rsid w:val="00353E64"/>
    <w:rsid w:val="00353E8A"/>
    <w:rsid w:val="003541C7"/>
    <w:rsid w:val="00354559"/>
    <w:rsid w:val="0035550A"/>
    <w:rsid w:val="00356A99"/>
    <w:rsid w:val="00357431"/>
    <w:rsid w:val="00362A44"/>
    <w:rsid w:val="00362D74"/>
    <w:rsid w:val="0036317D"/>
    <w:rsid w:val="0036370A"/>
    <w:rsid w:val="00366083"/>
    <w:rsid w:val="0037417D"/>
    <w:rsid w:val="00374BDC"/>
    <w:rsid w:val="00376DA8"/>
    <w:rsid w:val="00382D6C"/>
    <w:rsid w:val="00383B06"/>
    <w:rsid w:val="00384F8F"/>
    <w:rsid w:val="003904DA"/>
    <w:rsid w:val="00392FFF"/>
    <w:rsid w:val="00393471"/>
    <w:rsid w:val="003946E9"/>
    <w:rsid w:val="0039530D"/>
    <w:rsid w:val="003A1B48"/>
    <w:rsid w:val="003A235C"/>
    <w:rsid w:val="003A2B45"/>
    <w:rsid w:val="003A3C62"/>
    <w:rsid w:val="003A5ACF"/>
    <w:rsid w:val="003A66E1"/>
    <w:rsid w:val="003B012B"/>
    <w:rsid w:val="003B0667"/>
    <w:rsid w:val="003B0BE7"/>
    <w:rsid w:val="003B12BC"/>
    <w:rsid w:val="003B1510"/>
    <w:rsid w:val="003B1E24"/>
    <w:rsid w:val="003B33A5"/>
    <w:rsid w:val="003B3C61"/>
    <w:rsid w:val="003B4ECE"/>
    <w:rsid w:val="003C02A5"/>
    <w:rsid w:val="003C055D"/>
    <w:rsid w:val="003C105E"/>
    <w:rsid w:val="003C2B48"/>
    <w:rsid w:val="003C2DAF"/>
    <w:rsid w:val="003C3E5E"/>
    <w:rsid w:val="003C5CD2"/>
    <w:rsid w:val="003C6F93"/>
    <w:rsid w:val="003D0DEB"/>
    <w:rsid w:val="003D2931"/>
    <w:rsid w:val="003D32BB"/>
    <w:rsid w:val="003D3A2D"/>
    <w:rsid w:val="003D76A2"/>
    <w:rsid w:val="003D7F3A"/>
    <w:rsid w:val="003E117F"/>
    <w:rsid w:val="003E201E"/>
    <w:rsid w:val="003F0822"/>
    <w:rsid w:val="003F1719"/>
    <w:rsid w:val="003F1A58"/>
    <w:rsid w:val="003F3637"/>
    <w:rsid w:val="003F3D2E"/>
    <w:rsid w:val="00402208"/>
    <w:rsid w:val="00404F58"/>
    <w:rsid w:val="00407418"/>
    <w:rsid w:val="00407D81"/>
    <w:rsid w:val="00410C1C"/>
    <w:rsid w:val="00410EBC"/>
    <w:rsid w:val="0041183E"/>
    <w:rsid w:val="00412B2D"/>
    <w:rsid w:val="004140C3"/>
    <w:rsid w:val="00414FB0"/>
    <w:rsid w:val="0041625E"/>
    <w:rsid w:val="00416773"/>
    <w:rsid w:val="00417075"/>
    <w:rsid w:val="00423931"/>
    <w:rsid w:val="0042634B"/>
    <w:rsid w:val="00430219"/>
    <w:rsid w:val="004356B1"/>
    <w:rsid w:val="00435E4C"/>
    <w:rsid w:val="00437886"/>
    <w:rsid w:val="00437B29"/>
    <w:rsid w:val="00437CCE"/>
    <w:rsid w:val="00437FF8"/>
    <w:rsid w:val="00440003"/>
    <w:rsid w:val="00440692"/>
    <w:rsid w:val="00443EF1"/>
    <w:rsid w:val="004441DA"/>
    <w:rsid w:val="00445CA4"/>
    <w:rsid w:val="004465F4"/>
    <w:rsid w:val="00446F6D"/>
    <w:rsid w:val="00450528"/>
    <w:rsid w:val="004521EB"/>
    <w:rsid w:val="00454E11"/>
    <w:rsid w:val="00457B14"/>
    <w:rsid w:val="0046041F"/>
    <w:rsid w:val="00461903"/>
    <w:rsid w:val="004624DA"/>
    <w:rsid w:val="004631A5"/>
    <w:rsid w:val="004634F0"/>
    <w:rsid w:val="004645EF"/>
    <w:rsid w:val="0046462B"/>
    <w:rsid w:val="0046716A"/>
    <w:rsid w:val="004730F9"/>
    <w:rsid w:val="00475348"/>
    <w:rsid w:val="0048000D"/>
    <w:rsid w:val="00481D38"/>
    <w:rsid w:val="00493A96"/>
    <w:rsid w:val="00494274"/>
    <w:rsid w:val="00496A6F"/>
    <w:rsid w:val="00496ABA"/>
    <w:rsid w:val="00496E7D"/>
    <w:rsid w:val="00496F38"/>
    <w:rsid w:val="00497926"/>
    <w:rsid w:val="004A0230"/>
    <w:rsid w:val="004A4753"/>
    <w:rsid w:val="004B0496"/>
    <w:rsid w:val="004B0F4D"/>
    <w:rsid w:val="004C04F3"/>
    <w:rsid w:val="004C2B33"/>
    <w:rsid w:val="004C32D1"/>
    <w:rsid w:val="004C6D4A"/>
    <w:rsid w:val="004C77C4"/>
    <w:rsid w:val="004D356D"/>
    <w:rsid w:val="004D62AE"/>
    <w:rsid w:val="004D6D08"/>
    <w:rsid w:val="004E1254"/>
    <w:rsid w:val="004E3D1A"/>
    <w:rsid w:val="004E581A"/>
    <w:rsid w:val="004F1BA7"/>
    <w:rsid w:val="004F4A49"/>
    <w:rsid w:val="00500D67"/>
    <w:rsid w:val="00500EA6"/>
    <w:rsid w:val="00503B4C"/>
    <w:rsid w:val="00510CCE"/>
    <w:rsid w:val="0051318D"/>
    <w:rsid w:val="0052637B"/>
    <w:rsid w:val="00527FFB"/>
    <w:rsid w:val="00531BB7"/>
    <w:rsid w:val="0053645C"/>
    <w:rsid w:val="005367DC"/>
    <w:rsid w:val="005442E2"/>
    <w:rsid w:val="00544346"/>
    <w:rsid w:val="00544ADE"/>
    <w:rsid w:val="00545421"/>
    <w:rsid w:val="00546481"/>
    <w:rsid w:val="0055214F"/>
    <w:rsid w:val="00554060"/>
    <w:rsid w:val="00555327"/>
    <w:rsid w:val="005573C7"/>
    <w:rsid w:val="00562EBA"/>
    <w:rsid w:val="0056455B"/>
    <w:rsid w:val="00564FE5"/>
    <w:rsid w:val="00565902"/>
    <w:rsid w:val="00567B1B"/>
    <w:rsid w:val="005713FB"/>
    <w:rsid w:val="00572DDE"/>
    <w:rsid w:val="00572ED1"/>
    <w:rsid w:val="0057376D"/>
    <w:rsid w:val="00576FDE"/>
    <w:rsid w:val="005936CC"/>
    <w:rsid w:val="00594695"/>
    <w:rsid w:val="00595A92"/>
    <w:rsid w:val="005A28CD"/>
    <w:rsid w:val="005A5653"/>
    <w:rsid w:val="005B3EC1"/>
    <w:rsid w:val="005B5299"/>
    <w:rsid w:val="005B5785"/>
    <w:rsid w:val="005B68A2"/>
    <w:rsid w:val="005B7D77"/>
    <w:rsid w:val="005C3DAC"/>
    <w:rsid w:val="005C68B5"/>
    <w:rsid w:val="005C72C2"/>
    <w:rsid w:val="005D0B10"/>
    <w:rsid w:val="005D0DC0"/>
    <w:rsid w:val="005D177F"/>
    <w:rsid w:val="005D5AC3"/>
    <w:rsid w:val="005E5168"/>
    <w:rsid w:val="005E75B9"/>
    <w:rsid w:val="005E7CF9"/>
    <w:rsid w:val="005F2D7B"/>
    <w:rsid w:val="005F478E"/>
    <w:rsid w:val="00606417"/>
    <w:rsid w:val="00607193"/>
    <w:rsid w:val="0061481F"/>
    <w:rsid w:val="00620399"/>
    <w:rsid w:val="00620BE2"/>
    <w:rsid w:val="0062337B"/>
    <w:rsid w:val="006237E6"/>
    <w:rsid w:val="00623CBB"/>
    <w:rsid w:val="00624A43"/>
    <w:rsid w:val="00626DDC"/>
    <w:rsid w:val="00627BAB"/>
    <w:rsid w:val="006312C5"/>
    <w:rsid w:val="00636943"/>
    <w:rsid w:val="006378F8"/>
    <w:rsid w:val="00640040"/>
    <w:rsid w:val="00640302"/>
    <w:rsid w:val="0064552E"/>
    <w:rsid w:val="0064738F"/>
    <w:rsid w:val="00651570"/>
    <w:rsid w:val="00654599"/>
    <w:rsid w:val="00661B24"/>
    <w:rsid w:val="00666D85"/>
    <w:rsid w:val="00667EBA"/>
    <w:rsid w:val="00672B40"/>
    <w:rsid w:val="006742E7"/>
    <w:rsid w:val="00674817"/>
    <w:rsid w:val="00676670"/>
    <w:rsid w:val="006776CB"/>
    <w:rsid w:val="006807F0"/>
    <w:rsid w:val="006818BA"/>
    <w:rsid w:val="00681D20"/>
    <w:rsid w:val="00682144"/>
    <w:rsid w:val="00682198"/>
    <w:rsid w:val="00682EAD"/>
    <w:rsid w:val="006867F4"/>
    <w:rsid w:val="006909AD"/>
    <w:rsid w:val="0069297A"/>
    <w:rsid w:val="00693932"/>
    <w:rsid w:val="00693DA8"/>
    <w:rsid w:val="00694036"/>
    <w:rsid w:val="006954F3"/>
    <w:rsid w:val="006959F6"/>
    <w:rsid w:val="00695CE6"/>
    <w:rsid w:val="00697C00"/>
    <w:rsid w:val="006A1329"/>
    <w:rsid w:val="006A13F8"/>
    <w:rsid w:val="006A2C14"/>
    <w:rsid w:val="006A3A02"/>
    <w:rsid w:val="006A3AB8"/>
    <w:rsid w:val="006A4936"/>
    <w:rsid w:val="006B0068"/>
    <w:rsid w:val="006B08B2"/>
    <w:rsid w:val="006B1B93"/>
    <w:rsid w:val="006B2080"/>
    <w:rsid w:val="006B2248"/>
    <w:rsid w:val="006B2325"/>
    <w:rsid w:val="006C1ECE"/>
    <w:rsid w:val="006C37A6"/>
    <w:rsid w:val="006C38BC"/>
    <w:rsid w:val="006C599A"/>
    <w:rsid w:val="006C5B75"/>
    <w:rsid w:val="006C62C3"/>
    <w:rsid w:val="006D0456"/>
    <w:rsid w:val="006D2351"/>
    <w:rsid w:val="006D43A5"/>
    <w:rsid w:val="006D7408"/>
    <w:rsid w:val="006D794A"/>
    <w:rsid w:val="006E448D"/>
    <w:rsid w:val="006E50D7"/>
    <w:rsid w:val="006E6A9D"/>
    <w:rsid w:val="006F1640"/>
    <w:rsid w:val="006F2AD5"/>
    <w:rsid w:val="006F2B96"/>
    <w:rsid w:val="006F3BE0"/>
    <w:rsid w:val="006F4624"/>
    <w:rsid w:val="006F674A"/>
    <w:rsid w:val="0070139D"/>
    <w:rsid w:val="007029D7"/>
    <w:rsid w:val="00702AF4"/>
    <w:rsid w:val="0070600F"/>
    <w:rsid w:val="007064A7"/>
    <w:rsid w:val="007070C2"/>
    <w:rsid w:val="00721AE9"/>
    <w:rsid w:val="00723F43"/>
    <w:rsid w:val="007278FC"/>
    <w:rsid w:val="0073137A"/>
    <w:rsid w:val="00731DBB"/>
    <w:rsid w:val="007329EE"/>
    <w:rsid w:val="00732F37"/>
    <w:rsid w:val="007434D5"/>
    <w:rsid w:val="00747CB6"/>
    <w:rsid w:val="0075215A"/>
    <w:rsid w:val="00757FE6"/>
    <w:rsid w:val="00760AC7"/>
    <w:rsid w:val="00760C1C"/>
    <w:rsid w:val="00763D38"/>
    <w:rsid w:val="007657B2"/>
    <w:rsid w:val="00767C7F"/>
    <w:rsid w:val="007717B3"/>
    <w:rsid w:val="00773948"/>
    <w:rsid w:val="007767C8"/>
    <w:rsid w:val="007803B0"/>
    <w:rsid w:val="00781FD7"/>
    <w:rsid w:val="00784CBF"/>
    <w:rsid w:val="00786E42"/>
    <w:rsid w:val="00787374"/>
    <w:rsid w:val="00792E02"/>
    <w:rsid w:val="0079348A"/>
    <w:rsid w:val="0079604D"/>
    <w:rsid w:val="00796F2B"/>
    <w:rsid w:val="007A10CA"/>
    <w:rsid w:val="007A1373"/>
    <w:rsid w:val="007A4CE3"/>
    <w:rsid w:val="007A52F3"/>
    <w:rsid w:val="007A5DB8"/>
    <w:rsid w:val="007B1A79"/>
    <w:rsid w:val="007B37EB"/>
    <w:rsid w:val="007B5D92"/>
    <w:rsid w:val="007B6301"/>
    <w:rsid w:val="007B68A4"/>
    <w:rsid w:val="007B7AB7"/>
    <w:rsid w:val="007C452E"/>
    <w:rsid w:val="007D2844"/>
    <w:rsid w:val="007E0310"/>
    <w:rsid w:val="007F0E91"/>
    <w:rsid w:val="007F17CD"/>
    <w:rsid w:val="007F2C55"/>
    <w:rsid w:val="00801B12"/>
    <w:rsid w:val="0080295C"/>
    <w:rsid w:val="00803E48"/>
    <w:rsid w:val="008042D5"/>
    <w:rsid w:val="008121F8"/>
    <w:rsid w:val="00812596"/>
    <w:rsid w:val="00815F19"/>
    <w:rsid w:val="0081755B"/>
    <w:rsid w:val="0081767D"/>
    <w:rsid w:val="008212BC"/>
    <w:rsid w:val="008215E8"/>
    <w:rsid w:val="0082228F"/>
    <w:rsid w:val="008248E2"/>
    <w:rsid w:val="00824B5A"/>
    <w:rsid w:val="00826B5D"/>
    <w:rsid w:val="00826F49"/>
    <w:rsid w:val="00840DB7"/>
    <w:rsid w:val="008423D3"/>
    <w:rsid w:val="00853732"/>
    <w:rsid w:val="008543A7"/>
    <w:rsid w:val="008553AD"/>
    <w:rsid w:val="00856B73"/>
    <w:rsid w:val="008605AA"/>
    <w:rsid w:val="00866D22"/>
    <w:rsid w:val="008713B3"/>
    <w:rsid w:val="008736B6"/>
    <w:rsid w:val="00873798"/>
    <w:rsid w:val="008750CE"/>
    <w:rsid w:val="0087595F"/>
    <w:rsid w:val="00883E58"/>
    <w:rsid w:val="0088514F"/>
    <w:rsid w:val="008878FE"/>
    <w:rsid w:val="008962A0"/>
    <w:rsid w:val="008973D8"/>
    <w:rsid w:val="008A130D"/>
    <w:rsid w:val="008A41DE"/>
    <w:rsid w:val="008A43A4"/>
    <w:rsid w:val="008A7381"/>
    <w:rsid w:val="008A7A5E"/>
    <w:rsid w:val="008B06A0"/>
    <w:rsid w:val="008B0F93"/>
    <w:rsid w:val="008B2190"/>
    <w:rsid w:val="008B459A"/>
    <w:rsid w:val="008B5BAA"/>
    <w:rsid w:val="008B6FC7"/>
    <w:rsid w:val="008B7C5B"/>
    <w:rsid w:val="008C01B6"/>
    <w:rsid w:val="008C2BC8"/>
    <w:rsid w:val="008C3753"/>
    <w:rsid w:val="008C5CEB"/>
    <w:rsid w:val="008C5F03"/>
    <w:rsid w:val="008D39D5"/>
    <w:rsid w:val="008E0114"/>
    <w:rsid w:val="008E1E04"/>
    <w:rsid w:val="008E5046"/>
    <w:rsid w:val="008E57E9"/>
    <w:rsid w:val="008E7866"/>
    <w:rsid w:val="008E7915"/>
    <w:rsid w:val="008F03EC"/>
    <w:rsid w:val="008F3A57"/>
    <w:rsid w:val="008F45C4"/>
    <w:rsid w:val="008F4D17"/>
    <w:rsid w:val="009021C5"/>
    <w:rsid w:val="00904139"/>
    <w:rsid w:val="00906B06"/>
    <w:rsid w:val="00907D64"/>
    <w:rsid w:val="00911C78"/>
    <w:rsid w:val="00912335"/>
    <w:rsid w:val="009148F5"/>
    <w:rsid w:val="00916E0C"/>
    <w:rsid w:val="00924C76"/>
    <w:rsid w:val="00930998"/>
    <w:rsid w:val="00930B59"/>
    <w:rsid w:val="00930DFF"/>
    <w:rsid w:val="00932688"/>
    <w:rsid w:val="00940C57"/>
    <w:rsid w:val="00941953"/>
    <w:rsid w:val="009428DA"/>
    <w:rsid w:val="00943992"/>
    <w:rsid w:val="009459C5"/>
    <w:rsid w:val="00945A94"/>
    <w:rsid w:val="00950AB8"/>
    <w:rsid w:val="00950D3E"/>
    <w:rsid w:val="00952BC1"/>
    <w:rsid w:val="00954D9D"/>
    <w:rsid w:val="00955E65"/>
    <w:rsid w:val="00955F2F"/>
    <w:rsid w:val="009601F5"/>
    <w:rsid w:val="00972369"/>
    <w:rsid w:val="009735EA"/>
    <w:rsid w:val="00982A97"/>
    <w:rsid w:val="0098398E"/>
    <w:rsid w:val="00983FF2"/>
    <w:rsid w:val="0098519E"/>
    <w:rsid w:val="00987BC4"/>
    <w:rsid w:val="00990B68"/>
    <w:rsid w:val="00993322"/>
    <w:rsid w:val="009949A2"/>
    <w:rsid w:val="009956FE"/>
    <w:rsid w:val="00997A20"/>
    <w:rsid w:val="009A11D9"/>
    <w:rsid w:val="009A16BF"/>
    <w:rsid w:val="009A228F"/>
    <w:rsid w:val="009A32AA"/>
    <w:rsid w:val="009A3355"/>
    <w:rsid w:val="009A403F"/>
    <w:rsid w:val="009B1445"/>
    <w:rsid w:val="009B2EE6"/>
    <w:rsid w:val="009B5CD3"/>
    <w:rsid w:val="009B720B"/>
    <w:rsid w:val="009C1FC1"/>
    <w:rsid w:val="009C3E4F"/>
    <w:rsid w:val="009C5354"/>
    <w:rsid w:val="009D2BBF"/>
    <w:rsid w:val="009D55C1"/>
    <w:rsid w:val="009D6FC3"/>
    <w:rsid w:val="009D7356"/>
    <w:rsid w:val="009E1ED4"/>
    <w:rsid w:val="009E29C5"/>
    <w:rsid w:val="009E49A5"/>
    <w:rsid w:val="009E7309"/>
    <w:rsid w:val="009F2AA4"/>
    <w:rsid w:val="009F38AA"/>
    <w:rsid w:val="009F3E31"/>
    <w:rsid w:val="009F4C06"/>
    <w:rsid w:val="009F51FA"/>
    <w:rsid w:val="009F79F6"/>
    <w:rsid w:val="00A02788"/>
    <w:rsid w:val="00A04AC7"/>
    <w:rsid w:val="00A06903"/>
    <w:rsid w:val="00A10881"/>
    <w:rsid w:val="00A14B85"/>
    <w:rsid w:val="00A20A1B"/>
    <w:rsid w:val="00A21784"/>
    <w:rsid w:val="00A21AF0"/>
    <w:rsid w:val="00A22F69"/>
    <w:rsid w:val="00A26C8C"/>
    <w:rsid w:val="00A27F70"/>
    <w:rsid w:val="00A31847"/>
    <w:rsid w:val="00A33402"/>
    <w:rsid w:val="00A3684C"/>
    <w:rsid w:val="00A37A62"/>
    <w:rsid w:val="00A44C29"/>
    <w:rsid w:val="00A466EC"/>
    <w:rsid w:val="00A47F4D"/>
    <w:rsid w:val="00A5083F"/>
    <w:rsid w:val="00A562AE"/>
    <w:rsid w:val="00A565CF"/>
    <w:rsid w:val="00A5698D"/>
    <w:rsid w:val="00A662FD"/>
    <w:rsid w:val="00A66332"/>
    <w:rsid w:val="00A666AD"/>
    <w:rsid w:val="00A70613"/>
    <w:rsid w:val="00A72170"/>
    <w:rsid w:val="00A76D33"/>
    <w:rsid w:val="00A80130"/>
    <w:rsid w:val="00A81536"/>
    <w:rsid w:val="00A841C6"/>
    <w:rsid w:val="00A86BEA"/>
    <w:rsid w:val="00A87F1B"/>
    <w:rsid w:val="00A92A81"/>
    <w:rsid w:val="00A9640F"/>
    <w:rsid w:val="00A96E4A"/>
    <w:rsid w:val="00A9709E"/>
    <w:rsid w:val="00AA228C"/>
    <w:rsid w:val="00AA2D37"/>
    <w:rsid w:val="00AA3D8E"/>
    <w:rsid w:val="00AA520F"/>
    <w:rsid w:val="00AA6F4D"/>
    <w:rsid w:val="00AB178C"/>
    <w:rsid w:val="00AB3192"/>
    <w:rsid w:val="00AB5EDB"/>
    <w:rsid w:val="00AB60CD"/>
    <w:rsid w:val="00AB73DA"/>
    <w:rsid w:val="00AC0832"/>
    <w:rsid w:val="00AC11DD"/>
    <w:rsid w:val="00AC74D0"/>
    <w:rsid w:val="00AD44CC"/>
    <w:rsid w:val="00AD50E8"/>
    <w:rsid w:val="00AD5324"/>
    <w:rsid w:val="00AD5E39"/>
    <w:rsid w:val="00AD74EC"/>
    <w:rsid w:val="00AE26BC"/>
    <w:rsid w:val="00AE5FB0"/>
    <w:rsid w:val="00AF1BC9"/>
    <w:rsid w:val="00B00108"/>
    <w:rsid w:val="00B02EF1"/>
    <w:rsid w:val="00B043E2"/>
    <w:rsid w:val="00B10895"/>
    <w:rsid w:val="00B2047B"/>
    <w:rsid w:val="00B20BA6"/>
    <w:rsid w:val="00B210CA"/>
    <w:rsid w:val="00B2201F"/>
    <w:rsid w:val="00B222C0"/>
    <w:rsid w:val="00B22565"/>
    <w:rsid w:val="00B2272E"/>
    <w:rsid w:val="00B310EF"/>
    <w:rsid w:val="00B36A54"/>
    <w:rsid w:val="00B409C1"/>
    <w:rsid w:val="00B40C03"/>
    <w:rsid w:val="00B46704"/>
    <w:rsid w:val="00B526BB"/>
    <w:rsid w:val="00B527D0"/>
    <w:rsid w:val="00B5410D"/>
    <w:rsid w:val="00B621E2"/>
    <w:rsid w:val="00B626D5"/>
    <w:rsid w:val="00B703B4"/>
    <w:rsid w:val="00B7449B"/>
    <w:rsid w:val="00B75F21"/>
    <w:rsid w:val="00B77496"/>
    <w:rsid w:val="00B81A95"/>
    <w:rsid w:val="00B82030"/>
    <w:rsid w:val="00B904F7"/>
    <w:rsid w:val="00B933FF"/>
    <w:rsid w:val="00B958AA"/>
    <w:rsid w:val="00B96243"/>
    <w:rsid w:val="00B97323"/>
    <w:rsid w:val="00BA5943"/>
    <w:rsid w:val="00BA6A82"/>
    <w:rsid w:val="00BB2C36"/>
    <w:rsid w:val="00BB38DA"/>
    <w:rsid w:val="00BB429A"/>
    <w:rsid w:val="00BB5718"/>
    <w:rsid w:val="00BB62E6"/>
    <w:rsid w:val="00BB6FE6"/>
    <w:rsid w:val="00BC1C3D"/>
    <w:rsid w:val="00BC373D"/>
    <w:rsid w:val="00BC6FAB"/>
    <w:rsid w:val="00BC782E"/>
    <w:rsid w:val="00BD3AB1"/>
    <w:rsid w:val="00BD5F9B"/>
    <w:rsid w:val="00BE4087"/>
    <w:rsid w:val="00BE60E7"/>
    <w:rsid w:val="00BE6AE8"/>
    <w:rsid w:val="00BE6EAE"/>
    <w:rsid w:val="00BF0702"/>
    <w:rsid w:val="00BF2748"/>
    <w:rsid w:val="00C02B11"/>
    <w:rsid w:val="00C11642"/>
    <w:rsid w:val="00C13C4A"/>
    <w:rsid w:val="00C14527"/>
    <w:rsid w:val="00C146F5"/>
    <w:rsid w:val="00C16758"/>
    <w:rsid w:val="00C20FE9"/>
    <w:rsid w:val="00C23722"/>
    <w:rsid w:val="00C259FA"/>
    <w:rsid w:val="00C2731B"/>
    <w:rsid w:val="00C27CE2"/>
    <w:rsid w:val="00C314E4"/>
    <w:rsid w:val="00C33CA2"/>
    <w:rsid w:val="00C40083"/>
    <w:rsid w:val="00C400EF"/>
    <w:rsid w:val="00C402E8"/>
    <w:rsid w:val="00C40B2E"/>
    <w:rsid w:val="00C42769"/>
    <w:rsid w:val="00C57614"/>
    <w:rsid w:val="00C57CF3"/>
    <w:rsid w:val="00C60310"/>
    <w:rsid w:val="00C61A7D"/>
    <w:rsid w:val="00C621D5"/>
    <w:rsid w:val="00C623CB"/>
    <w:rsid w:val="00C63D88"/>
    <w:rsid w:val="00C6591C"/>
    <w:rsid w:val="00C67A72"/>
    <w:rsid w:val="00C71F81"/>
    <w:rsid w:val="00C72160"/>
    <w:rsid w:val="00C74BA8"/>
    <w:rsid w:val="00C76CFF"/>
    <w:rsid w:val="00C84B24"/>
    <w:rsid w:val="00C900AF"/>
    <w:rsid w:val="00C9046D"/>
    <w:rsid w:val="00CA0F93"/>
    <w:rsid w:val="00CA1881"/>
    <w:rsid w:val="00CA656E"/>
    <w:rsid w:val="00CB37CE"/>
    <w:rsid w:val="00CB49FF"/>
    <w:rsid w:val="00CC1903"/>
    <w:rsid w:val="00CC32EE"/>
    <w:rsid w:val="00CC3631"/>
    <w:rsid w:val="00CC5654"/>
    <w:rsid w:val="00CD07EE"/>
    <w:rsid w:val="00CD09B9"/>
    <w:rsid w:val="00CD0C97"/>
    <w:rsid w:val="00CF2526"/>
    <w:rsid w:val="00CF4F4A"/>
    <w:rsid w:val="00CF596C"/>
    <w:rsid w:val="00CF5DF2"/>
    <w:rsid w:val="00CF6E06"/>
    <w:rsid w:val="00CF7048"/>
    <w:rsid w:val="00CF7670"/>
    <w:rsid w:val="00D00BA3"/>
    <w:rsid w:val="00D0153E"/>
    <w:rsid w:val="00D02C86"/>
    <w:rsid w:val="00D02E71"/>
    <w:rsid w:val="00D043DE"/>
    <w:rsid w:val="00D04BFF"/>
    <w:rsid w:val="00D060C6"/>
    <w:rsid w:val="00D079B8"/>
    <w:rsid w:val="00D07CB7"/>
    <w:rsid w:val="00D13C01"/>
    <w:rsid w:val="00D20AFE"/>
    <w:rsid w:val="00D2340D"/>
    <w:rsid w:val="00D378AD"/>
    <w:rsid w:val="00D418B3"/>
    <w:rsid w:val="00D469AB"/>
    <w:rsid w:val="00D47800"/>
    <w:rsid w:val="00D47DAE"/>
    <w:rsid w:val="00D50636"/>
    <w:rsid w:val="00D50C08"/>
    <w:rsid w:val="00D550BB"/>
    <w:rsid w:val="00D60120"/>
    <w:rsid w:val="00D624C6"/>
    <w:rsid w:val="00D639B0"/>
    <w:rsid w:val="00D70088"/>
    <w:rsid w:val="00D70728"/>
    <w:rsid w:val="00D77DFE"/>
    <w:rsid w:val="00D82069"/>
    <w:rsid w:val="00D820C0"/>
    <w:rsid w:val="00D82AD4"/>
    <w:rsid w:val="00D846A5"/>
    <w:rsid w:val="00D84A96"/>
    <w:rsid w:val="00D854B9"/>
    <w:rsid w:val="00D8570C"/>
    <w:rsid w:val="00D858B8"/>
    <w:rsid w:val="00D91653"/>
    <w:rsid w:val="00D93506"/>
    <w:rsid w:val="00D9554B"/>
    <w:rsid w:val="00DB220E"/>
    <w:rsid w:val="00DB5E6C"/>
    <w:rsid w:val="00DB6D58"/>
    <w:rsid w:val="00DB764C"/>
    <w:rsid w:val="00DC008D"/>
    <w:rsid w:val="00DC6E16"/>
    <w:rsid w:val="00DD0D18"/>
    <w:rsid w:val="00DD1E3E"/>
    <w:rsid w:val="00DD1EBD"/>
    <w:rsid w:val="00DD6663"/>
    <w:rsid w:val="00DE30A9"/>
    <w:rsid w:val="00DF06E0"/>
    <w:rsid w:val="00DF0771"/>
    <w:rsid w:val="00DF1487"/>
    <w:rsid w:val="00E01D98"/>
    <w:rsid w:val="00E058D7"/>
    <w:rsid w:val="00E06765"/>
    <w:rsid w:val="00E07116"/>
    <w:rsid w:val="00E1007B"/>
    <w:rsid w:val="00E13CFA"/>
    <w:rsid w:val="00E1538B"/>
    <w:rsid w:val="00E168DF"/>
    <w:rsid w:val="00E1736C"/>
    <w:rsid w:val="00E21B9E"/>
    <w:rsid w:val="00E21EE1"/>
    <w:rsid w:val="00E25FA4"/>
    <w:rsid w:val="00E303C8"/>
    <w:rsid w:val="00E309B1"/>
    <w:rsid w:val="00E34049"/>
    <w:rsid w:val="00E346B8"/>
    <w:rsid w:val="00E40B48"/>
    <w:rsid w:val="00E41881"/>
    <w:rsid w:val="00E4523E"/>
    <w:rsid w:val="00E47862"/>
    <w:rsid w:val="00E47E9A"/>
    <w:rsid w:val="00E510C2"/>
    <w:rsid w:val="00E512E2"/>
    <w:rsid w:val="00E51902"/>
    <w:rsid w:val="00E52B1A"/>
    <w:rsid w:val="00E5765E"/>
    <w:rsid w:val="00E57A64"/>
    <w:rsid w:val="00E60673"/>
    <w:rsid w:val="00E62FF2"/>
    <w:rsid w:val="00E65AB2"/>
    <w:rsid w:val="00E7294F"/>
    <w:rsid w:val="00E72ED7"/>
    <w:rsid w:val="00E75AD3"/>
    <w:rsid w:val="00E75E75"/>
    <w:rsid w:val="00E77BA3"/>
    <w:rsid w:val="00E82041"/>
    <w:rsid w:val="00E8284B"/>
    <w:rsid w:val="00E87E43"/>
    <w:rsid w:val="00E93116"/>
    <w:rsid w:val="00E93B67"/>
    <w:rsid w:val="00E9426E"/>
    <w:rsid w:val="00E95AA0"/>
    <w:rsid w:val="00E95EEE"/>
    <w:rsid w:val="00E97841"/>
    <w:rsid w:val="00EA0DB0"/>
    <w:rsid w:val="00EA27C4"/>
    <w:rsid w:val="00EA7A13"/>
    <w:rsid w:val="00EA7ECD"/>
    <w:rsid w:val="00EB1173"/>
    <w:rsid w:val="00EB1C5D"/>
    <w:rsid w:val="00EB30D6"/>
    <w:rsid w:val="00EB4971"/>
    <w:rsid w:val="00EB6DE9"/>
    <w:rsid w:val="00EB724E"/>
    <w:rsid w:val="00EB78B2"/>
    <w:rsid w:val="00EC22E3"/>
    <w:rsid w:val="00EC57DA"/>
    <w:rsid w:val="00ED3C4B"/>
    <w:rsid w:val="00ED75A7"/>
    <w:rsid w:val="00EE02FE"/>
    <w:rsid w:val="00EE7927"/>
    <w:rsid w:val="00EF2C32"/>
    <w:rsid w:val="00EF38D3"/>
    <w:rsid w:val="00EF3916"/>
    <w:rsid w:val="00EF514D"/>
    <w:rsid w:val="00EF6E06"/>
    <w:rsid w:val="00EF6F34"/>
    <w:rsid w:val="00EF77D5"/>
    <w:rsid w:val="00EF7B07"/>
    <w:rsid w:val="00F020BB"/>
    <w:rsid w:val="00F112E1"/>
    <w:rsid w:val="00F14C6A"/>
    <w:rsid w:val="00F15966"/>
    <w:rsid w:val="00F23F11"/>
    <w:rsid w:val="00F255E4"/>
    <w:rsid w:val="00F3377C"/>
    <w:rsid w:val="00F35109"/>
    <w:rsid w:val="00F355C5"/>
    <w:rsid w:val="00F36B37"/>
    <w:rsid w:val="00F40476"/>
    <w:rsid w:val="00F41165"/>
    <w:rsid w:val="00F42A08"/>
    <w:rsid w:val="00F432E2"/>
    <w:rsid w:val="00F43830"/>
    <w:rsid w:val="00F47E72"/>
    <w:rsid w:val="00F50582"/>
    <w:rsid w:val="00F515CF"/>
    <w:rsid w:val="00F60879"/>
    <w:rsid w:val="00F61C55"/>
    <w:rsid w:val="00F64DB8"/>
    <w:rsid w:val="00F6537A"/>
    <w:rsid w:val="00F669A6"/>
    <w:rsid w:val="00F7240A"/>
    <w:rsid w:val="00F72C57"/>
    <w:rsid w:val="00F73762"/>
    <w:rsid w:val="00F8644C"/>
    <w:rsid w:val="00F91247"/>
    <w:rsid w:val="00F94888"/>
    <w:rsid w:val="00F95CD7"/>
    <w:rsid w:val="00F97F37"/>
    <w:rsid w:val="00FA0475"/>
    <w:rsid w:val="00FA0AF6"/>
    <w:rsid w:val="00FA1168"/>
    <w:rsid w:val="00FA129A"/>
    <w:rsid w:val="00FA13B4"/>
    <w:rsid w:val="00FA1970"/>
    <w:rsid w:val="00FA2AD5"/>
    <w:rsid w:val="00FA34B6"/>
    <w:rsid w:val="00FB05C8"/>
    <w:rsid w:val="00FB3572"/>
    <w:rsid w:val="00FB6459"/>
    <w:rsid w:val="00FC296D"/>
    <w:rsid w:val="00FC4164"/>
    <w:rsid w:val="00FC43AA"/>
    <w:rsid w:val="00FC6078"/>
    <w:rsid w:val="00FC7B54"/>
    <w:rsid w:val="00FD2C07"/>
    <w:rsid w:val="00FD4670"/>
    <w:rsid w:val="00FD6D74"/>
    <w:rsid w:val="00FE447E"/>
    <w:rsid w:val="00FE5FEE"/>
    <w:rsid w:val="00FE6E2C"/>
    <w:rsid w:val="00FF1845"/>
    <w:rsid w:val="00FF2CD3"/>
    <w:rsid w:val="00FF3E79"/>
    <w:rsid w:val="00FF4AB1"/>
    <w:rsid w:val="00FF52B3"/>
    <w:rsid w:val="00FF5508"/>
    <w:rsid w:val="00FF6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660FAE-5356-4773-A777-2EC069B6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8"/>
    </w:rPr>
  </w:style>
  <w:style w:type="paragraph" w:styleId="Naslov1">
    <w:name w:val="heading 1"/>
    <w:basedOn w:val="Navaden"/>
    <w:next w:val="Navaden"/>
    <w:qFormat/>
    <w:pPr>
      <w:keepNext/>
      <w:spacing w:before="240" w:after="60"/>
      <w:outlineLvl w:val="0"/>
    </w:pPr>
    <w:rPr>
      <w:rFonts w:ascii="Arial" w:hAnsi="Arial"/>
      <w:b/>
      <w:kern w:val="28"/>
    </w:rPr>
  </w:style>
  <w:style w:type="paragraph" w:styleId="Naslov2">
    <w:name w:val="heading 2"/>
    <w:basedOn w:val="Navaden"/>
    <w:next w:val="Navaden"/>
    <w:qFormat/>
    <w:pPr>
      <w:keepNext/>
      <w:outlineLvl w:val="1"/>
    </w:pPr>
    <w:rPr>
      <w:b/>
      <w:sz w:val="22"/>
    </w:rPr>
  </w:style>
  <w:style w:type="paragraph" w:styleId="Naslov3">
    <w:name w:val="heading 3"/>
    <w:basedOn w:val="Navaden"/>
    <w:next w:val="Navaden"/>
    <w:qFormat/>
    <w:pPr>
      <w:keepNext/>
      <w:jc w:val="both"/>
      <w:outlineLvl w:val="2"/>
    </w:pPr>
    <w:rPr>
      <w:sz w:val="24"/>
      <w:u w:val="single"/>
    </w:rPr>
  </w:style>
  <w:style w:type="paragraph" w:styleId="Naslov4">
    <w:name w:val="heading 4"/>
    <w:basedOn w:val="Navaden"/>
    <w:next w:val="Navaden"/>
    <w:qFormat/>
    <w:pPr>
      <w:keepNext/>
      <w:jc w:val="both"/>
      <w:outlineLvl w:val="3"/>
    </w:pPr>
    <w:rPr>
      <w:b/>
      <w:sz w:val="24"/>
    </w:rPr>
  </w:style>
  <w:style w:type="paragraph" w:styleId="Naslov5">
    <w:name w:val="heading 5"/>
    <w:basedOn w:val="Navaden"/>
    <w:next w:val="Navaden"/>
    <w:qFormat/>
    <w:pPr>
      <w:keepNext/>
      <w:numPr>
        <w:numId w:val="2"/>
      </w:numPr>
      <w:jc w:val="both"/>
      <w:outlineLvl w:val="4"/>
    </w:pPr>
    <w:rPr>
      <w:b/>
      <w:sz w:val="24"/>
    </w:rPr>
  </w:style>
  <w:style w:type="paragraph" w:styleId="Naslov6">
    <w:name w:val="heading 6"/>
    <w:basedOn w:val="Navaden"/>
    <w:next w:val="Navaden"/>
    <w:qFormat/>
    <w:pPr>
      <w:keepNext/>
      <w:outlineLvl w:val="5"/>
    </w:pPr>
    <w:rPr>
      <w:b/>
      <w:snapToGrid w:val="0"/>
      <w:color w:val="000000"/>
      <w:sz w:val="24"/>
    </w:rPr>
  </w:style>
  <w:style w:type="paragraph" w:styleId="Naslov7">
    <w:name w:val="heading 7"/>
    <w:basedOn w:val="Navaden"/>
    <w:next w:val="Navaden"/>
    <w:qFormat/>
    <w:pPr>
      <w:keepNext/>
      <w:jc w:val="both"/>
      <w:outlineLvl w:val="6"/>
    </w:pPr>
    <w:rPr>
      <w:b/>
    </w:rPr>
  </w:style>
  <w:style w:type="paragraph" w:styleId="Naslov8">
    <w:name w:val="heading 8"/>
    <w:basedOn w:val="Navaden"/>
    <w:next w:val="Navaden"/>
    <w:qFormat/>
    <w:pPr>
      <w:keepNext/>
      <w:jc w:val="both"/>
      <w:outlineLvl w:val="7"/>
    </w:pPr>
    <w:rPr>
      <w:b/>
      <w:sz w:val="24"/>
    </w:rPr>
  </w:style>
  <w:style w:type="paragraph" w:styleId="Naslov9">
    <w:name w:val="heading 9"/>
    <w:basedOn w:val="Navaden"/>
    <w:next w:val="Navaden"/>
    <w:qFormat/>
    <w:pPr>
      <w:keepNext/>
      <w:jc w:val="center"/>
      <w:outlineLvl w:val="8"/>
    </w:pPr>
    <w:rPr>
      <w:b/>
      <w:snapToGrid w:val="0"/>
      <w:color w:val="000000"/>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Pr>
      <w:b/>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2">
    <w:name w:val="Body Text 2"/>
    <w:basedOn w:val="Navaden"/>
    <w:pPr>
      <w:jc w:val="both"/>
    </w:pPr>
  </w:style>
  <w:style w:type="paragraph" w:styleId="Telobesedila3">
    <w:name w:val="Body Text 3"/>
    <w:basedOn w:val="Navaden"/>
    <w:pPr>
      <w:jc w:val="both"/>
    </w:pPr>
    <w:rPr>
      <w:sz w:val="24"/>
    </w:rPr>
  </w:style>
  <w:style w:type="paragraph" w:customStyle="1" w:styleId="p">
    <w:name w:val="p"/>
    <w:basedOn w:val="Navaden"/>
    <w:rsid w:val="00437CCE"/>
    <w:pPr>
      <w:spacing w:before="80" w:after="20"/>
      <w:ind w:left="20" w:right="20" w:firstLine="240"/>
      <w:jc w:val="both"/>
    </w:pPr>
    <w:rPr>
      <w:rFonts w:ascii="Arial" w:hAnsi="Arial" w:cs="Arial"/>
      <w:color w:val="222222"/>
      <w:sz w:val="22"/>
      <w:szCs w:val="22"/>
    </w:rPr>
  </w:style>
  <w:style w:type="paragraph" w:customStyle="1" w:styleId="h4">
    <w:name w:val="h4"/>
    <w:basedOn w:val="Navaden"/>
    <w:rsid w:val="00437CCE"/>
    <w:pPr>
      <w:spacing w:before="400" w:after="300"/>
      <w:ind w:left="20" w:right="20"/>
      <w:jc w:val="center"/>
    </w:pPr>
    <w:rPr>
      <w:rFonts w:ascii="Arial" w:hAnsi="Arial" w:cs="Arial"/>
      <w:b/>
      <w:bCs/>
      <w:color w:val="222222"/>
      <w:sz w:val="22"/>
      <w:szCs w:val="22"/>
    </w:rPr>
  </w:style>
  <w:style w:type="paragraph" w:styleId="Sprotnaopomba-besedilo">
    <w:name w:val="footnote text"/>
    <w:basedOn w:val="Navaden"/>
    <w:semiHidden/>
    <w:rsid w:val="003B4ECE"/>
    <w:rPr>
      <w:sz w:val="20"/>
    </w:rPr>
  </w:style>
  <w:style w:type="character" w:styleId="Sprotnaopomba-sklic">
    <w:name w:val="footnote reference"/>
    <w:semiHidden/>
    <w:rsid w:val="003B4ECE"/>
    <w:rPr>
      <w:vertAlign w:val="superscript"/>
    </w:rPr>
  </w:style>
  <w:style w:type="paragraph" w:styleId="Kazalovsebine2">
    <w:name w:val="toc 2"/>
    <w:basedOn w:val="Navaden"/>
    <w:next w:val="Navaden"/>
    <w:autoRedefine/>
    <w:uiPriority w:val="39"/>
    <w:qFormat/>
    <w:rsid w:val="00417075"/>
    <w:pPr>
      <w:ind w:left="280"/>
    </w:pPr>
  </w:style>
  <w:style w:type="paragraph" w:styleId="Kazalovsebine1">
    <w:name w:val="toc 1"/>
    <w:basedOn w:val="Navaden"/>
    <w:next w:val="Konnaopomba-besedilo"/>
    <w:autoRedefine/>
    <w:uiPriority w:val="39"/>
    <w:qFormat/>
    <w:rsid w:val="00A33402"/>
    <w:pPr>
      <w:tabs>
        <w:tab w:val="right" w:leader="dot" w:pos="9060"/>
      </w:tabs>
    </w:pPr>
    <w:rPr>
      <w:b/>
      <w:szCs w:val="28"/>
    </w:rPr>
  </w:style>
  <w:style w:type="paragraph" w:styleId="Kazalovsebine3">
    <w:name w:val="toc 3"/>
    <w:basedOn w:val="Navaden"/>
    <w:next w:val="Navaden"/>
    <w:autoRedefine/>
    <w:uiPriority w:val="39"/>
    <w:qFormat/>
    <w:rsid w:val="00417075"/>
    <w:pPr>
      <w:ind w:left="560"/>
    </w:pPr>
  </w:style>
  <w:style w:type="character" w:styleId="Hiperpovezava">
    <w:name w:val="Hyperlink"/>
    <w:uiPriority w:val="99"/>
    <w:rsid w:val="00417075"/>
    <w:rPr>
      <w:color w:val="0000FF"/>
      <w:u w:val="single"/>
    </w:rPr>
  </w:style>
  <w:style w:type="paragraph" w:styleId="Kazalovsebine4">
    <w:name w:val="toc 4"/>
    <w:basedOn w:val="Navaden"/>
    <w:next w:val="Navaden"/>
    <w:autoRedefine/>
    <w:semiHidden/>
    <w:rsid w:val="00F3377C"/>
    <w:pPr>
      <w:ind w:left="840"/>
    </w:pPr>
  </w:style>
  <w:style w:type="character" w:styleId="tevilkastrani">
    <w:name w:val="page number"/>
    <w:basedOn w:val="Privzetapisavaodstavka"/>
    <w:rsid w:val="00A33402"/>
  </w:style>
  <w:style w:type="table" w:styleId="Tabela-mrea">
    <w:name w:val="Tabela - mreža"/>
    <w:basedOn w:val="Navadnatabela"/>
    <w:rsid w:val="00C2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EE02FE"/>
    <w:rPr>
      <w:rFonts w:ascii="Tahoma" w:hAnsi="Tahoma" w:cs="Tahoma"/>
      <w:sz w:val="16"/>
      <w:szCs w:val="16"/>
    </w:rPr>
  </w:style>
  <w:style w:type="paragraph" w:styleId="Stvarnokazalo1">
    <w:name w:val="index 1"/>
    <w:basedOn w:val="Navaden"/>
    <w:next w:val="Navaden"/>
    <w:autoRedefine/>
    <w:semiHidden/>
    <w:rsid w:val="00082127"/>
    <w:pPr>
      <w:ind w:left="280" w:hanging="280"/>
    </w:pPr>
  </w:style>
  <w:style w:type="paragraph" w:styleId="NaslovTOC">
    <w:name w:val="TOC Heading"/>
    <w:basedOn w:val="Naslov1"/>
    <w:next w:val="Navaden"/>
    <w:uiPriority w:val="39"/>
    <w:semiHidden/>
    <w:unhideWhenUsed/>
    <w:qFormat/>
    <w:rsid w:val="008A7381"/>
    <w:pPr>
      <w:keepLines/>
      <w:spacing w:before="480" w:after="0" w:line="276" w:lineRule="auto"/>
      <w:outlineLvl w:val="9"/>
    </w:pPr>
    <w:rPr>
      <w:rFonts w:ascii="Cambria" w:hAnsi="Cambria"/>
      <w:bCs/>
      <w:color w:val="365F91"/>
      <w:kern w:val="0"/>
      <w:szCs w:val="28"/>
      <w:lang w:eastAsia="en-US"/>
    </w:rPr>
  </w:style>
  <w:style w:type="paragraph" w:styleId="Konnaopomba-besedilo">
    <w:name w:val="endnote text"/>
    <w:basedOn w:val="Navaden"/>
    <w:link w:val="Konnaopomba-besediloZnak"/>
    <w:rsid w:val="008A7381"/>
    <w:rPr>
      <w:sz w:val="20"/>
    </w:rPr>
  </w:style>
  <w:style w:type="character" w:customStyle="1" w:styleId="Konnaopomba-besediloZnak">
    <w:name w:val="Končna opomba - besedilo Znak"/>
    <w:basedOn w:val="Privzetapisavaodstavka"/>
    <w:link w:val="Konnaopomba-besedilo"/>
    <w:rsid w:val="008A7381"/>
  </w:style>
  <w:style w:type="paragraph" w:styleId="Napis">
    <w:name w:val="caption"/>
    <w:basedOn w:val="Navaden"/>
    <w:next w:val="Navaden"/>
    <w:unhideWhenUsed/>
    <w:qFormat/>
    <w:rsid w:val="006867F4"/>
    <w:rPr>
      <w:b/>
      <w:bCs/>
      <w:sz w:val="20"/>
    </w:rPr>
  </w:style>
  <w:style w:type="paragraph" w:styleId="Kazaloslik">
    <w:name w:val="table of figures"/>
    <w:basedOn w:val="Navaden"/>
    <w:next w:val="Navaden"/>
    <w:uiPriority w:val="99"/>
    <w:rsid w:val="0068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884">
      <w:bodyDiv w:val="1"/>
      <w:marLeft w:val="0"/>
      <w:marRight w:val="0"/>
      <w:marTop w:val="0"/>
      <w:marBottom w:val="0"/>
      <w:divBdr>
        <w:top w:val="none" w:sz="0" w:space="0" w:color="auto"/>
        <w:left w:val="none" w:sz="0" w:space="0" w:color="auto"/>
        <w:bottom w:val="none" w:sz="0" w:space="0" w:color="auto"/>
        <w:right w:val="none" w:sz="0" w:space="0" w:color="auto"/>
      </w:divBdr>
    </w:div>
    <w:div w:id="45416759">
      <w:bodyDiv w:val="1"/>
      <w:marLeft w:val="0"/>
      <w:marRight w:val="0"/>
      <w:marTop w:val="0"/>
      <w:marBottom w:val="0"/>
      <w:divBdr>
        <w:top w:val="none" w:sz="0" w:space="0" w:color="auto"/>
        <w:left w:val="none" w:sz="0" w:space="0" w:color="auto"/>
        <w:bottom w:val="none" w:sz="0" w:space="0" w:color="auto"/>
        <w:right w:val="none" w:sz="0" w:space="0" w:color="auto"/>
      </w:divBdr>
    </w:div>
    <w:div w:id="51736710">
      <w:bodyDiv w:val="1"/>
      <w:marLeft w:val="0"/>
      <w:marRight w:val="0"/>
      <w:marTop w:val="0"/>
      <w:marBottom w:val="0"/>
      <w:divBdr>
        <w:top w:val="none" w:sz="0" w:space="0" w:color="auto"/>
        <w:left w:val="none" w:sz="0" w:space="0" w:color="auto"/>
        <w:bottom w:val="none" w:sz="0" w:space="0" w:color="auto"/>
        <w:right w:val="none" w:sz="0" w:space="0" w:color="auto"/>
      </w:divBdr>
    </w:div>
    <w:div w:id="128787550">
      <w:bodyDiv w:val="1"/>
      <w:marLeft w:val="0"/>
      <w:marRight w:val="0"/>
      <w:marTop w:val="0"/>
      <w:marBottom w:val="0"/>
      <w:divBdr>
        <w:top w:val="none" w:sz="0" w:space="0" w:color="auto"/>
        <w:left w:val="none" w:sz="0" w:space="0" w:color="auto"/>
        <w:bottom w:val="none" w:sz="0" w:space="0" w:color="auto"/>
        <w:right w:val="none" w:sz="0" w:space="0" w:color="auto"/>
      </w:divBdr>
    </w:div>
    <w:div w:id="145055588">
      <w:bodyDiv w:val="1"/>
      <w:marLeft w:val="0"/>
      <w:marRight w:val="0"/>
      <w:marTop w:val="0"/>
      <w:marBottom w:val="0"/>
      <w:divBdr>
        <w:top w:val="none" w:sz="0" w:space="0" w:color="auto"/>
        <w:left w:val="none" w:sz="0" w:space="0" w:color="auto"/>
        <w:bottom w:val="none" w:sz="0" w:space="0" w:color="auto"/>
        <w:right w:val="none" w:sz="0" w:space="0" w:color="auto"/>
      </w:divBdr>
    </w:div>
    <w:div w:id="159152472">
      <w:bodyDiv w:val="1"/>
      <w:marLeft w:val="0"/>
      <w:marRight w:val="0"/>
      <w:marTop w:val="0"/>
      <w:marBottom w:val="0"/>
      <w:divBdr>
        <w:top w:val="none" w:sz="0" w:space="0" w:color="auto"/>
        <w:left w:val="none" w:sz="0" w:space="0" w:color="auto"/>
        <w:bottom w:val="none" w:sz="0" w:space="0" w:color="auto"/>
        <w:right w:val="none" w:sz="0" w:space="0" w:color="auto"/>
      </w:divBdr>
    </w:div>
    <w:div w:id="270819574">
      <w:bodyDiv w:val="1"/>
      <w:marLeft w:val="0"/>
      <w:marRight w:val="0"/>
      <w:marTop w:val="0"/>
      <w:marBottom w:val="0"/>
      <w:divBdr>
        <w:top w:val="none" w:sz="0" w:space="0" w:color="auto"/>
        <w:left w:val="none" w:sz="0" w:space="0" w:color="auto"/>
        <w:bottom w:val="none" w:sz="0" w:space="0" w:color="auto"/>
        <w:right w:val="none" w:sz="0" w:space="0" w:color="auto"/>
      </w:divBdr>
    </w:div>
    <w:div w:id="272446095">
      <w:bodyDiv w:val="1"/>
      <w:marLeft w:val="0"/>
      <w:marRight w:val="0"/>
      <w:marTop w:val="0"/>
      <w:marBottom w:val="0"/>
      <w:divBdr>
        <w:top w:val="none" w:sz="0" w:space="0" w:color="auto"/>
        <w:left w:val="none" w:sz="0" w:space="0" w:color="auto"/>
        <w:bottom w:val="none" w:sz="0" w:space="0" w:color="auto"/>
        <w:right w:val="none" w:sz="0" w:space="0" w:color="auto"/>
      </w:divBdr>
    </w:div>
    <w:div w:id="286160406">
      <w:bodyDiv w:val="1"/>
      <w:marLeft w:val="0"/>
      <w:marRight w:val="0"/>
      <w:marTop w:val="0"/>
      <w:marBottom w:val="0"/>
      <w:divBdr>
        <w:top w:val="none" w:sz="0" w:space="0" w:color="auto"/>
        <w:left w:val="none" w:sz="0" w:space="0" w:color="auto"/>
        <w:bottom w:val="none" w:sz="0" w:space="0" w:color="auto"/>
        <w:right w:val="none" w:sz="0" w:space="0" w:color="auto"/>
      </w:divBdr>
    </w:div>
    <w:div w:id="296762776">
      <w:bodyDiv w:val="1"/>
      <w:marLeft w:val="0"/>
      <w:marRight w:val="0"/>
      <w:marTop w:val="0"/>
      <w:marBottom w:val="0"/>
      <w:divBdr>
        <w:top w:val="none" w:sz="0" w:space="0" w:color="auto"/>
        <w:left w:val="none" w:sz="0" w:space="0" w:color="auto"/>
        <w:bottom w:val="none" w:sz="0" w:space="0" w:color="auto"/>
        <w:right w:val="none" w:sz="0" w:space="0" w:color="auto"/>
      </w:divBdr>
    </w:div>
    <w:div w:id="661129598">
      <w:bodyDiv w:val="1"/>
      <w:marLeft w:val="0"/>
      <w:marRight w:val="0"/>
      <w:marTop w:val="0"/>
      <w:marBottom w:val="0"/>
      <w:divBdr>
        <w:top w:val="none" w:sz="0" w:space="0" w:color="auto"/>
        <w:left w:val="none" w:sz="0" w:space="0" w:color="auto"/>
        <w:bottom w:val="none" w:sz="0" w:space="0" w:color="auto"/>
        <w:right w:val="none" w:sz="0" w:space="0" w:color="auto"/>
      </w:divBdr>
    </w:div>
    <w:div w:id="672532339">
      <w:bodyDiv w:val="1"/>
      <w:marLeft w:val="0"/>
      <w:marRight w:val="0"/>
      <w:marTop w:val="0"/>
      <w:marBottom w:val="0"/>
      <w:divBdr>
        <w:top w:val="none" w:sz="0" w:space="0" w:color="auto"/>
        <w:left w:val="none" w:sz="0" w:space="0" w:color="auto"/>
        <w:bottom w:val="none" w:sz="0" w:space="0" w:color="auto"/>
        <w:right w:val="none" w:sz="0" w:space="0" w:color="auto"/>
      </w:divBdr>
    </w:div>
    <w:div w:id="731847677">
      <w:bodyDiv w:val="1"/>
      <w:marLeft w:val="0"/>
      <w:marRight w:val="0"/>
      <w:marTop w:val="0"/>
      <w:marBottom w:val="0"/>
      <w:divBdr>
        <w:top w:val="none" w:sz="0" w:space="0" w:color="auto"/>
        <w:left w:val="none" w:sz="0" w:space="0" w:color="auto"/>
        <w:bottom w:val="none" w:sz="0" w:space="0" w:color="auto"/>
        <w:right w:val="none" w:sz="0" w:space="0" w:color="auto"/>
      </w:divBdr>
    </w:div>
    <w:div w:id="756706267">
      <w:bodyDiv w:val="1"/>
      <w:marLeft w:val="0"/>
      <w:marRight w:val="0"/>
      <w:marTop w:val="0"/>
      <w:marBottom w:val="0"/>
      <w:divBdr>
        <w:top w:val="none" w:sz="0" w:space="0" w:color="auto"/>
        <w:left w:val="none" w:sz="0" w:space="0" w:color="auto"/>
        <w:bottom w:val="none" w:sz="0" w:space="0" w:color="auto"/>
        <w:right w:val="none" w:sz="0" w:space="0" w:color="auto"/>
      </w:divBdr>
      <w:divsChild>
        <w:div w:id="767047979">
          <w:marLeft w:val="0"/>
          <w:marRight w:val="0"/>
          <w:marTop w:val="0"/>
          <w:marBottom w:val="0"/>
          <w:divBdr>
            <w:top w:val="none" w:sz="0" w:space="0" w:color="auto"/>
            <w:left w:val="none" w:sz="0" w:space="0" w:color="auto"/>
            <w:bottom w:val="none" w:sz="0" w:space="0" w:color="auto"/>
            <w:right w:val="none" w:sz="0" w:space="0" w:color="auto"/>
          </w:divBdr>
          <w:divsChild>
            <w:div w:id="458110634">
              <w:marLeft w:val="0"/>
              <w:marRight w:val="0"/>
              <w:marTop w:val="0"/>
              <w:marBottom w:val="0"/>
              <w:divBdr>
                <w:top w:val="none" w:sz="0" w:space="0" w:color="auto"/>
                <w:left w:val="none" w:sz="0" w:space="0" w:color="auto"/>
                <w:bottom w:val="none" w:sz="0" w:space="0" w:color="auto"/>
                <w:right w:val="none" w:sz="0" w:space="0" w:color="auto"/>
              </w:divBdr>
            </w:div>
            <w:div w:id="578053195">
              <w:marLeft w:val="0"/>
              <w:marRight w:val="0"/>
              <w:marTop w:val="0"/>
              <w:marBottom w:val="0"/>
              <w:divBdr>
                <w:top w:val="none" w:sz="0" w:space="0" w:color="auto"/>
                <w:left w:val="none" w:sz="0" w:space="0" w:color="auto"/>
                <w:bottom w:val="none" w:sz="0" w:space="0" w:color="auto"/>
                <w:right w:val="none" w:sz="0" w:space="0" w:color="auto"/>
              </w:divBdr>
            </w:div>
            <w:div w:id="647632618">
              <w:marLeft w:val="0"/>
              <w:marRight w:val="0"/>
              <w:marTop w:val="0"/>
              <w:marBottom w:val="0"/>
              <w:divBdr>
                <w:top w:val="none" w:sz="0" w:space="0" w:color="auto"/>
                <w:left w:val="none" w:sz="0" w:space="0" w:color="auto"/>
                <w:bottom w:val="none" w:sz="0" w:space="0" w:color="auto"/>
                <w:right w:val="none" w:sz="0" w:space="0" w:color="auto"/>
              </w:divBdr>
            </w:div>
            <w:div w:id="680081527">
              <w:marLeft w:val="0"/>
              <w:marRight w:val="0"/>
              <w:marTop w:val="0"/>
              <w:marBottom w:val="0"/>
              <w:divBdr>
                <w:top w:val="none" w:sz="0" w:space="0" w:color="auto"/>
                <w:left w:val="none" w:sz="0" w:space="0" w:color="auto"/>
                <w:bottom w:val="none" w:sz="0" w:space="0" w:color="auto"/>
                <w:right w:val="none" w:sz="0" w:space="0" w:color="auto"/>
              </w:divBdr>
            </w:div>
            <w:div w:id="793252122">
              <w:marLeft w:val="0"/>
              <w:marRight w:val="0"/>
              <w:marTop w:val="0"/>
              <w:marBottom w:val="0"/>
              <w:divBdr>
                <w:top w:val="none" w:sz="0" w:space="0" w:color="auto"/>
                <w:left w:val="none" w:sz="0" w:space="0" w:color="auto"/>
                <w:bottom w:val="none" w:sz="0" w:space="0" w:color="auto"/>
                <w:right w:val="none" w:sz="0" w:space="0" w:color="auto"/>
              </w:divBdr>
            </w:div>
            <w:div w:id="795757624">
              <w:marLeft w:val="0"/>
              <w:marRight w:val="0"/>
              <w:marTop w:val="0"/>
              <w:marBottom w:val="0"/>
              <w:divBdr>
                <w:top w:val="none" w:sz="0" w:space="0" w:color="auto"/>
                <w:left w:val="none" w:sz="0" w:space="0" w:color="auto"/>
                <w:bottom w:val="none" w:sz="0" w:space="0" w:color="auto"/>
                <w:right w:val="none" w:sz="0" w:space="0" w:color="auto"/>
              </w:divBdr>
            </w:div>
            <w:div w:id="882130238">
              <w:marLeft w:val="0"/>
              <w:marRight w:val="0"/>
              <w:marTop w:val="0"/>
              <w:marBottom w:val="0"/>
              <w:divBdr>
                <w:top w:val="none" w:sz="0" w:space="0" w:color="auto"/>
                <w:left w:val="none" w:sz="0" w:space="0" w:color="auto"/>
                <w:bottom w:val="none" w:sz="0" w:space="0" w:color="auto"/>
                <w:right w:val="none" w:sz="0" w:space="0" w:color="auto"/>
              </w:divBdr>
            </w:div>
            <w:div w:id="971903121">
              <w:marLeft w:val="0"/>
              <w:marRight w:val="0"/>
              <w:marTop w:val="0"/>
              <w:marBottom w:val="0"/>
              <w:divBdr>
                <w:top w:val="none" w:sz="0" w:space="0" w:color="auto"/>
                <w:left w:val="none" w:sz="0" w:space="0" w:color="auto"/>
                <w:bottom w:val="none" w:sz="0" w:space="0" w:color="auto"/>
                <w:right w:val="none" w:sz="0" w:space="0" w:color="auto"/>
              </w:divBdr>
            </w:div>
            <w:div w:id="1115104181">
              <w:marLeft w:val="0"/>
              <w:marRight w:val="0"/>
              <w:marTop w:val="0"/>
              <w:marBottom w:val="0"/>
              <w:divBdr>
                <w:top w:val="none" w:sz="0" w:space="0" w:color="auto"/>
                <w:left w:val="none" w:sz="0" w:space="0" w:color="auto"/>
                <w:bottom w:val="none" w:sz="0" w:space="0" w:color="auto"/>
                <w:right w:val="none" w:sz="0" w:space="0" w:color="auto"/>
              </w:divBdr>
            </w:div>
            <w:div w:id="1298990759">
              <w:marLeft w:val="0"/>
              <w:marRight w:val="0"/>
              <w:marTop w:val="0"/>
              <w:marBottom w:val="0"/>
              <w:divBdr>
                <w:top w:val="none" w:sz="0" w:space="0" w:color="auto"/>
                <w:left w:val="none" w:sz="0" w:space="0" w:color="auto"/>
                <w:bottom w:val="none" w:sz="0" w:space="0" w:color="auto"/>
                <w:right w:val="none" w:sz="0" w:space="0" w:color="auto"/>
              </w:divBdr>
            </w:div>
            <w:div w:id="1363818481">
              <w:marLeft w:val="0"/>
              <w:marRight w:val="0"/>
              <w:marTop w:val="0"/>
              <w:marBottom w:val="0"/>
              <w:divBdr>
                <w:top w:val="none" w:sz="0" w:space="0" w:color="auto"/>
                <w:left w:val="none" w:sz="0" w:space="0" w:color="auto"/>
                <w:bottom w:val="none" w:sz="0" w:space="0" w:color="auto"/>
                <w:right w:val="none" w:sz="0" w:space="0" w:color="auto"/>
              </w:divBdr>
            </w:div>
            <w:div w:id="1850094907">
              <w:marLeft w:val="0"/>
              <w:marRight w:val="0"/>
              <w:marTop w:val="0"/>
              <w:marBottom w:val="0"/>
              <w:divBdr>
                <w:top w:val="none" w:sz="0" w:space="0" w:color="auto"/>
                <w:left w:val="none" w:sz="0" w:space="0" w:color="auto"/>
                <w:bottom w:val="none" w:sz="0" w:space="0" w:color="auto"/>
                <w:right w:val="none" w:sz="0" w:space="0" w:color="auto"/>
              </w:divBdr>
            </w:div>
            <w:div w:id="1984581717">
              <w:marLeft w:val="0"/>
              <w:marRight w:val="0"/>
              <w:marTop w:val="0"/>
              <w:marBottom w:val="0"/>
              <w:divBdr>
                <w:top w:val="none" w:sz="0" w:space="0" w:color="auto"/>
                <w:left w:val="none" w:sz="0" w:space="0" w:color="auto"/>
                <w:bottom w:val="none" w:sz="0" w:space="0" w:color="auto"/>
                <w:right w:val="none" w:sz="0" w:space="0" w:color="auto"/>
              </w:divBdr>
            </w:div>
            <w:div w:id="2068843503">
              <w:marLeft w:val="0"/>
              <w:marRight w:val="0"/>
              <w:marTop w:val="0"/>
              <w:marBottom w:val="0"/>
              <w:divBdr>
                <w:top w:val="none" w:sz="0" w:space="0" w:color="auto"/>
                <w:left w:val="none" w:sz="0" w:space="0" w:color="auto"/>
                <w:bottom w:val="none" w:sz="0" w:space="0" w:color="auto"/>
                <w:right w:val="none" w:sz="0" w:space="0" w:color="auto"/>
              </w:divBdr>
            </w:div>
            <w:div w:id="20800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6455">
      <w:bodyDiv w:val="1"/>
      <w:marLeft w:val="0"/>
      <w:marRight w:val="0"/>
      <w:marTop w:val="0"/>
      <w:marBottom w:val="0"/>
      <w:divBdr>
        <w:top w:val="none" w:sz="0" w:space="0" w:color="auto"/>
        <w:left w:val="none" w:sz="0" w:space="0" w:color="auto"/>
        <w:bottom w:val="none" w:sz="0" w:space="0" w:color="auto"/>
        <w:right w:val="none" w:sz="0" w:space="0" w:color="auto"/>
      </w:divBdr>
    </w:div>
    <w:div w:id="798650857">
      <w:bodyDiv w:val="1"/>
      <w:marLeft w:val="0"/>
      <w:marRight w:val="0"/>
      <w:marTop w:val="0"/>
      <w:marBottom w:val="0"/>
      <w:divBdr>
        <w:top w:val="none" w:sz="0" w:space="0" w:color="auto"/>
        <w:left w:val="none" w:sz="0" w:space="0" w:color="auto"/>
        <w:bottom w:val="none" w:sz="0" w:space="0" w:color="auto"/>
        <w:right w:val="none" w:sz="0" w:space="0" w:color="auto"/>
      </w:divBdr>
    </w:div>
    <w:div w:id="837380231">
      <w:bodyDiv w:val="1"/>
      <w:marLeft w:val="0"/>
      <w:marRight w:val="0"/>
      <w:marTop w:val="0"/>
      <w:marBottom w:val="0"/>
      <w:divBdr>
        <w:top w:val="none" w:sz="0" w:space="0" w:color="auto"/>
        <w:left w:val="none" w:sz="0" w:space="0" w:color="auto"/>
        <w:bottom w:val="none" w:sz="0" w:space="0" w:color="auto"/>
        <w:right w:val="none" w:sz="0" w:space="0" w:color="auto"/>
      </w:divBdr>
    </w:div>
    <w:div w:id="847064789">
      <w:bodyDiv w:val="1"/>
      <w:marLeft w:val="0"/>
      <w:marRight w:val="0"/>
      <w:marTop w:val="0"/>
      <w:marBottom w:val="0"/>
      <w:divBdr>
        <w:top w:val="none" w:sz="0" w:space="0" w:color="auto"/>
        <w:left w:val="none" w:sz="0" w:space="0" w:color="auto"/>
        <w:bottom w:val="none" w:sz="0" w:space="0" w:color="auto"/>
        <w:right w:val="none" w:sz="0" w:space="0" w:color="auto"/>
      </w:divBdr>
    </w:div>
    <w:div w:id="870993238">
      <w:bodyDiv w:val="1"/>
      <w:marLeft w:val="0"/>
      <w:marRight w:val="0"/>
      <w:marTop w:val="0"/>
      <w:marBottom w:val="0"/>
      <w:divBdr>
        <w:top w:val="none" w:sz="0" w:space="0" w:color="auto"/>
        <w:left w:val="none" w:sz="0" w:space="0" w:color="auto"/>
        <w:bottom w:val="none" w:sz="0" w:space="0" w:color="auto"/>
        <w:right w:val="none" w:sz="0" w:space="0" w:color="auto"/>
      </w:divBdr>
    </w:div>
    <w:div w:id="884756663">
      <w:bodyDiv w:val="1"/>
      <w:marLeft w:val="0"/>
      <w:marRight w:val="0"/>
      <w:marTop w:val="0"/>
      <w:marBottom w:val="0"/>
      <w:divBdr>
        <w:top w:val="none" w:sz="0" w:space="0" w:color="auto"/>
        <w:left w:val="none" w:sz="0" w:space="0" w:color="auto"/>
        <w:bottom w:val="none" w:sz="0" w:space="0" w:color="auto"/>
        <w:right w:val="none" w:sz="0" w:space="0" w:color="auto"/>
      </w:divBdr>
    </w:div>
    <w:div w:id="896747631">
      <w:bodyDiv w:val="1"/>
      <w:marLeft w:val="0"/>
      <w:marRight w:val="0"/>
      <w:marTop w:val="0"/>
      <w:marBottom w:val="0"/>
      <w:divBdr>
        <w:top w:val="none" w:sz="0" w:space="0" w:color="auto"/>
        <w:left w:val="none" w:sz="0" w:space="0" w:color="auto"/>
        <w:bottom w:val="none" w:sz="0" w:space="0" w:color="auto"/>
        <w:right w:val="none" w:sz="0" w:space="0" w:color="auto"/>
      </w:divBdr>
    </w:div>
    <w:div w:id="912355888">
      <w:bodyDiv w:val="1"/>
      <w:marLeft w:val="0"/>
      <w:marRight w:val="0"/>
      <w:marTop w:val="0"/>
      <w:marBottom w:val="0"/>
      <w:divBdr>
        <w:top w:val="none" w:sz="0" w:space="0" w:color="auto"/>
        <w:left w:val="none" w:sz="0" w:space="0" w:color="auto"/>
        <w:bottom w:val="none" w:sz="0" w:space="0" w:color="auto"/>
        <w:right w:val="none" w:sz="0" w:space="0" w:color="auto"/>
      </w:divBdr>
    </w:div>
    <w:div w:id="948581567">
      <w:bodyDiv w:val="1"/>
      <w:marLeft w:val="0"/>
      <w:marRight w:val="0"/>
      <w:marTop w:val="0"/>
      <w:marBottom w:val="0"/>
      <w:divBdr>
        <w:top w:val="none" w:sz="0" w:space="0" w:color="auto"/>
        <w:left w:val="none" w:sz="0" w:space="0" w:color="auto"/>
        <w:bottom w:val="none" w:sz="0" w:space="0" w:color="auto"/>
        <w:right w:val="none" w:sz="0" w:space="0" w:color="auto"/>
      </w:divBdr>
    </w:div>
    <w:div w:id="952520885">
      <w:bodyDiv w:val="1"/>
      <w:marLeft w:val="0"/>
      <w:marRight w:val="0"/>
      <w:marTop w:val="0"/>
      <w:marBottom w:val="0"/>
      <w:divBdr>
        <w:top w:val="none" w:sz="0" w:space="0" w:color="auto"/>
        <w:left w:val="none" w:sz="0" w:space="0" w:color="auto"/>
        <w:bottom w:val="none" w:sz="0" w:space="0" w:color="auto"/>
        <w:right w:val="none" w:sz="0" w:space="0" w:color="auto"/>
      </w:divBdr>
    </w:div>
    <w:div w:id="959258991">
      <w:bodyDiv w:val="1"/>
      <w:marLeft w:val="0"/>
      <w:marRight w:val="0"/>
      <w:marTop w:val="0"/>
      <w:marBottom w:val="0"/>
      <w:divBdr>
        <w:top w:val="none" w:sz="0" w:space="0" w:color="auto"/>
        <w:left w:val="none" w:sz="0" w:space="0" w:color="auto"/>
        <w:bottom w:val="none" w:sz="0" w:space="0" w:color="auto"/>
        <w:right w:val="none" w:sz="0" w:space="0" w:color="auto"/>
      </w:divBdr>
    </w:div>
    <w:div w:id="995959345">
      <w:bodyDiv w:val="1"/>
      <w:marLeft w:val="0"/>
      <w:marRight w:val="0"/>
      <w:marTop w:val="0"/>
      <w:marBottom w:val="0"/>
      <w:divBdr>
        <w:top w:val="none" w:sz="0" w:space="0" w:color="auto"/>
        <w:left w:val="none" w:sz="0" w:space="0" w:color="auto"/>
        <w:bottom w:val="none" w:sz="0" w:space="0" w:color="auto"/>
        <w:right w:val="none" w:sz="0" w:space="0" w:color="auto"/>
      </w:divBdr>
    </w:div>
    <w:div w:id="1010527165">
      <w:bodyDiv w:val="1"/>
      <w:marLeft w:val="0"/>
      <w:marRight w:val="0"/>
      <w:marTop w:val="0"/>
      <w:marBottom w:val="0"/>
      <w:divBdr>
        <w:top w:val="none" w:sz="0" w:space="0" w:color="auto"/>
        <w:left w:val="none" w:sz="0" w:space="0" w:color="auto"/>
        <w:bottom w:val="none" w:sz="0" w:space="0" w:color="auto"/>
        <w:right w:val="none" w:sz="0" w:space="0" w:color="auto"/>
      </w:divBdr>
    </w:div>
    <w:div w:id="1066879107">
      <w:bodyDiv w:val="1"/>
      <w:marLeft w:val="0"/>
      <w:marRight w:val="0"/>
      <w:marTop w:val="0"/>
      <w:marBottom w:val="0"/>
      <w:divBdr>
        <w:top w:val="none" w:sz="0" w:space="0" w:color="auto"/>
        <w:left w:val="none" w:sz="0" w:space="0" w:color="auto"/>
        <w:bottom w:val="none" w:sz="0" w:space="0" w:color="auto"/>
        <w:right w:val="none" w:sz="0" w:space="0" w:color="auto"/>
      </w:divBdr>
    </w:div>
    <w:div w:id="1138105007">
      <w:bodyDiv w:val="1"/>
      <w:marLeft w:val="0"/>
      <w:marRight w:val="0"/>
      <w:marTop w:val="0"/>
      <w:marBottom w:val="0"/>
      <w:divBdr>
        <w:top w:val="none" w:sz="0" w:space="0" w:color="auto"/>
        <w:left w:val="none" w:sz="0" w:space="0" w:color="auto"/>
        <w:bottom w:val="none" w:sz="0" w:space="0" w:color="auto"/>
        <w:right w:val="none" w:sz="0" w:space="0" w:color="auto"/>
      </w:divBdr>
    </w:div>
    <w:div w:id="1148980636">
      <w:bodyDiv w:val="1"/>
      <w:marLeft w:val="0"/>
      <w:marRight w:val="0"/>
      <w:marTop w:val="0"/>
      <w:marBottom w:val="0"/>
      <w:divBdr>
        <w:top w:val="none" w:sz="0" w:space="0" w:color="auto"/>
        <w:left w:val="none" w:sz="0" w:space="0" w:color="auto"/>
        <w:bottom w:val="none" w:sz="0" w:space="0" w:color="auto"/>
        <w:right w:val="none" w:sz="0" w:space="0" w:color="auto"/>
      </w:divBdr>
    </w:div>
    <w:div w:id="1173684612">
      <w:bodyDiv w:val="1"/>
      <w:marLeft w:val="0"/>
      <w:marRight w:val="0"/>
      <w:marTop w:val="0"/>
      <w:marBottom w:val="0"/>
      <w:divBdr>
        <w:top w:val="none" w:sz="0" w:space="0" w:color="auto"/>
        <w:left w:val="none" w:sz="0" w:space="0" w:color="auto"/>
        <w:bottom w:val="none" w:sz="0" w:space="0" w:color="auto"/>
        <w:right w:val="none" w:sz="0" w:space="0" w:color="auto"/>
      </w:divBdr>
    </w:div>
    <w:div w:id="1190030264">
      <w:bodyDiv w:val="1"/>
      <w:marLeft w:val="0"/>
      <w:marRight w:val="0"/>
      <w:marTop w:val="0"/>
      <w:marBottom w:val="0"/>
      <w:divBdr>
        <w:top w:val="none" w:sz="0" w:space="0" w:color="auto"/>
        <w:left w:val="none" w:sz="0" w:space="0" w:color="auto"/>
        <w:bottom w:val="none" w:sz="0" w:space="0" w:color="auto"/>
        <w:right w:val="none" w:sz="0" w:space="0" w:color="auto"/>
      </w:divBdr>
    </w:div>
    <w:div w:id="1194726482">
      <w:bodyDiv w:val="1"/>
      <w:marLeft w:val="0"/>
      <w:marRight w:val="0"/>
      <w:marTop w:val="0"/>
      <w:marBottom w:val="0"/>
      <w:divBdr>
        <w:top w:val="none" w:sz="0" w:space="0" w:color="auto"/>
        <w:left w:val="none" w:sz="0" w:space="0" w:color="auto"/>
        <w:bottom w:val="none" w:sz="0" w:space="0" w:color="auto"/>
        <w:right w:val="none" w:sz="0" w:space="0" w:color="auto"/>
      </w:divBdr>
    </w:div>
    <w:div w:id="1224833390">
      <w:bodyDiv w:val="1"/>
      <w:marLeft w:val="0"/>
      <w:marRight w:val="0"/>
      <w:marTop w:val="0"/>
      <w:marBottom w:val="0"/>
      <w:divBdr>
        <w:top w:val="none" w:sz="0" w:space="0" w:color="auto"/>
        <w:left w:val="none" w:sz="0" w:space="0" w:color="auto"/>
        <w:bottom w:val="none" w:sz="0" w:space="0" w:color="auto"/>
        <w:right w:val="none" w:sz="0" w:space="0" w:color="auto"/>
      </w:divBdr>
    </w:div>
    <w:div w:id="1235235547">
      <w:bodyDiv w:val="1"/>
      <w:marLeft w:val="0"/>
      <w:marRight w:val="0"/>
      <w:marTop w:val="0"/>
      <w:marBottom w:val="0"/>
      <w:divBdr>
        <w:top w:val="none" w:sz="0" w:space="0" w:color="auto"/>
        <w:left w:val="none" w:sz="0" w:space="0" w:color="auto"/>
        <w:bottom w:val="none" w:sz="0" w:space="0" w:color="auto"/>
        <w:right w:val="none" w:sz="0" w:space="0" w:color="auto"/>
      </w:divBdr>
    </w:div>
    <w:div w:id="1283730003">
      <w:bodyDiv w:val="1"/>
      <w:marLeft w:val="0"/>
      <w:marRight w:val="0"/>
      <w:marTop w:val="0"/>
      <w:marBottom w:val="0"/>
      <w:divBdr>
        <w:top w:val="none" w:sz="0" w:space="0" w:color="auto"/>
        <w:left w:val="none" w:sz="0" w:space="0" w:color="auto"/>
        <w:bottom w:val="none" w:sz="0" w:space="0" w:color="auto"/>
        <w:right w:val="none" w:sz="0" w:space="0" w:color="auto"/>
      </w:divBdr>
    </w:div>
    <w:div w:id="1300378070">
      <w:bodyDiv w:val="1"/>
      <w:marLeft w:val="0"/>
      <w:marRight w:val="0"/>
      <w:marTop w:val="0"/>
      <w:marBottom w:val="0"/>
      <w:divBdr>
        <w:top w:val="none" w:sz="0" w:space="0" w:color="auto"/>
        <w:left w:val="none" w:sz="0" w:space="0" w:color="auto"/>
        <w:bottom w:val="none" w:sz="0" w:space="0" w:color="auto"/>
        <w:right w:val="none" w:sz="0" w:space="0" w:color="auto"/>
      </w:divBdr>
    </w:div>
    <w:div w:id="1303465652">
      <w:bodyDiv w:val="1"/>
      <w:marLeft w:val="0"/>
      <w:marRight w:val="0"/>
      <w:marTop w:val="0"/>
      <w:marBottom w:val="0"/>
      <w:divBdr>
        <w:top w:val="none" w:sz="0" w:space="0" w:color="auto"/>
        <w:left w:val="none" w:sz="0" w:space="0" w:color="auto"/>
        <w:bottom w:val="none" w:sz="0" w:space="0" w:color="auto"/>
        <w:right w:val="none" w:sz="0" w:space="0" w:color="auto"/>
      </w:divBdr>
    </w:div>
    <w:div w:id="1390767558">
      <w:bodyDiv w:val="1"/>
      <w:marLeft w:val="0"/>
      <w:marRight w:val="0"/>
      <w:marTop w:val="0"/>
      <w:marBottom w:val="0"/>
      <w:divBdr>
        <w:top w:val="none" w:sz="0" w:space="0" w:color="auto"/>
        <w:left w:val="none" w:sz="0" w:space="0" w:color="auto"/>
        <w:bottom w:val="none" w:sz="0" w:space="0" w:color="auto"/>
        <w:right w:val="none" w:sz="0" w:space="0" w:color="auto"/>
      </w:divBdr>
    </w:div>
    <w:div w:id="1461457619">
      <w:bodyDiv w:val="1"/>
      <w:marLeft w:val="0"/>
      <w:marRight w:val="0"/>
      <w:marTop w:val="0"/>
      <w:marBottom w:val="0"/>
      <w:divBdr>
        <w:top w:val="none" w:sz="0" w:space="0" w:color="auto"/>
        <w:left w:val="none" w:sz="0" w:space="0" w:color="auto"/>
        <w:bottom w:val="none" w:sz="0" w:space="0" w:color="auto"/>
        <w:right w:val="none" w:sz="0" w:space="0" w:color="auto"/>
      </w:divBdr>
    </w:div>
    <w:div w:id="1518542748">
      <w:bodyDiv w:val="1"/>
      <w:marLeft w:val="0"/>
      <w:marRight w:val="0"/>
      <w:marTop w:val="0"/>
      <w:marBottom w:val="0"/>
      <w:divBdr>
        <w:top w:val="none" w:sz="0" w:space="0" w:color="auto"/>
        <w:left w:val="none" w:sz="0" w:space="0" w:color="auto"/>
        <w:bottom w:val="none" w:sz="0" w:space="0" w:color="auto"/>
        <w:right w:val="none" w:sz="0" w:space="0" w:color="auto"/>
      </w:divBdr>
    </w:div>
    <w:div w:id="1549872428">
      <w:bodyDiv w:val="1"/>
      <w:marLeft w:val="0"/>
      <w:marRight w:val="0"/>
      <w:marTop w:val="0"/>
      <w:marBottom w:val="0"/>
      <w:divBdr>
        <w:top w:val="none" w:sz="0" w:space="0" w:color="auto"/>
        <w:left w:val="none" w:sz="0" w:space="0" w:color="auto"/>
        <w:bottom w:val="none" w:sz="0" w:space="0" w:color="auto"/>
        <w:right w:val="none" w:sz="0" w:space="0" w:color="auto"/>
      </w:divBdr>
    </w:div>
    <w:div w:id="1614480085">
      <w:bodyDiv w:val="1"/>
      <w:marLeft w:val="0"/>
      <w:marRight w:val="0"/>
      <w:marTop w:val="0"/>
      <w:marBottom w:val="0"/>
      <w:divBdr>
        <w:top w:val="none" w:sz="0" w:space="0" w:color="auto"/>
        <w:left w:val="none" w:sz="0" w:space="0" w:color="auto"/>
        <w:bottom w:val="none" w:sz="0" w:space="0" w:color="auto"/>
        <w:right w:val="none" w:sz="0" w:space="0" w:color="auto"/>
      </w:divBdr>
    </w:div>
    <w:div w:id="1690059946">
      <w:bodyDiv w:val="1"/>
      <w:marLeft w:val="0"/>
      <w:marRight w:val="0"/>
      <w:marTop w:val="0"/>
      <w:marBottom w:val="0"/>
      <w:divBdr>
        <w:top w:val="none" w:sz="0" w:space="0" w:color="auto"/>
        <w:left w:val="none" w:sz="0" w:space="0" w:color="auto"/>
        <w:bottom w:val="none" w:sz="0" w:space="0" w:color="auto"/>
        <w:right w:val="none" w:sz="0" w:space="0" w:color="auto"/>
      </w:divBdr>
    </w:div>
    <w:div w:id="1742679032">
      <w:bodyDiv w:val="1"/>
      <w:marLeft w:val="0"/>
      <w:marRight w:val="0"/>
      <w:marTop w:val="0"/>
      <w:marBottom w:val="0"/>
      <w:divBdr>
        <w:top w:val="none" w:sz="0" w:space="0" w:color="auto"/>
        <w:left w:val="none" w:sz="0" w:space="0" w:color="auto"/>
        <w:bottom w:val="none" w:sz="0" w:space="0" w:color="auto"/>
        <w:right w:val="none" w:sz="0" w:space="0" w:color="auto"/>
      </w:divBdr>
    </w:div>
    <w:div w:id="1774281453">
      <w:bodyDiv w:val="1"/>
      <w:marLeft w:val="0"/>
      <w:marRight w:val="0"/>
      <w:marTop w:val="0"/>
      <w:marBottom w:val="0"/>
      <w:divBdr>
        <w:top w:val="none" w:sz="0" w:space="0" w:color="auto"/>
        <w:left w:val="none" w:sz="0" w:space="0" w:color="auto"/>
        <w:bottom w:val="none" w:sz="0" w:space="0" w:color="auto"/>
        <w:right w:val="none" w:sz="0" w:space="0" w:color="auto"/>
      </w:divBdr>
    </w:div>
    <w:div w:id="1819957899">
      <w:bodyDiv w:val="1"/>
      <w:marLeft w:val="0"/>
      <w:marRight w:val="0"/>
      <w:marTop w:val="0"/>
      <w:marBottom w:val="0"/>
      <w:divBdr>
        <w:top w:val="none" w:sz="0" w:space="0" w:color="auto"/>
        <w:left w:val="none" w:sz="0" w:space="0" w:color="auto"/>
        <w:bottom w:val="none" w:sz="0" w:space="0" w:color="auto"/>
        <w:right w:val="none" w:sz="0" w:space="0" w:color="auto"/>
      </w:divBdr>
    </w:div>
    <w:div w:id="1830752537">
      <w:bodyDiv w:val="1"/>
      <w:marLeft w:val="0"/>
      <w:marRight w:val="0"/>
      <w:marTop w:val="0"/>
      <w:marBottom w:val="0"/>
      <w:divBdr>
        <w:top w:val="none" w:sz="0" w:space="0" w:color="auto"/>
        <w:left w:val="none" w:sz="0" w:space="0" w:color="auto"/>
        <w:bottom w:val="none" w:sz="0" w:space="0" w:color="auto"/>
        <w:right w:val="none" w:sz="0" w:space="0" w:color="auto"/>
      </w:divBdr>
    </w:div>
    <w:div w:id="1833791437">
      <w:bodyDiv w:val="1"/>
      <w:marLeft w:val="0"/>
      <w:marRight w:val="0"/>
      <w:marTop w:val="0"/>
      <w:marBottom w:val="0"/>
      <w:divBdr>
        <w:top w:val="none" w:sz="0" w:space="0" w:color="auto"/>
        <w:left w:val="none" w:sz="0" w:space="0" w:color="auto"/>
        <w:bottom w:val="none" w:sz="0" w:space="0" w:color="auto"/>
        <w:right w:val="none" w:sz="0" w:space="0" w:color="auto"/>
      </w:divBdr>
    </w:div>
    <w:div w:id="1839496186">
      <w:bodyDiv w:val="1"/>
      <w:marLeft w:val="0"/>
      <w:marRight w:val="0"/>
      <w:marTop w:val="0"/>
      <w:marBottom w:val="0"/>
      <w:divBdr>
        <w:top w:val="none" w:sz="0" w:space="0" w:color="auto"/>
        <w:left w:val="none" w:sz="0" w:space="0" w:color="auto"/>
        <w:bottom w:val="none" w:sz="0" w:space="0" w:color="auto"/>
        <w:right w:val="none" w:sz="0" w:space="0" w:color="auto"/>
      </w:divBdr>
    </w:div>
    <w:div w:id="1853177393">
      <w:bodyDiv w:val="1"/>
      <w:marLeft w:val="0"/>
      <w:marRight w:val="0"/>
      <w:marTop w:val="0"/>
      <w:marBottom w:val="0"/>
      <w:divBdr>
        <w:top w:val="none" w:sz="0" w:space="0" w:color="auto"/>
        <w:left w:val="none" w:sz="0" w:space="0" w:color="auto"/>
        <w:bottom w:val="none" w:sz="0" w:space="0" w:color="auto"/>
        <w:right w:val="none" w:sz="0" w:space="0" w:color="auto"/>
      </w:divBdr>
    </w:div>
    <w:div w:id="1863089734">
      <w:bodyDiv w:val="1"/>
      <w:marLeft w:val="0"/>
      <w:marRight w:val="0"/>
      <w:marTop w:val="0"/>
      <w:marBottom w:val="0"/>
      <w:divBdr>
        <w:top w:val="none" w:sz="0" w:space="0" w:color="auto"/>
        <w:left w:val="none" w:sz="0" w:space="0" w:color="auto"/>
        <w:bottom w:val="none" w:sz="0" w:space="0" w:color="auto"/>
        <w:right w:val="none" w:sz="0" w:space="0" w:color="auto"/>
      </w:divBdr>
    </w:div>
    <w:div w:id="1873690873">
      <w:bodyDiv w:val="1"/>
      <w:marLeft w:val="0"/>
      <w:marRight w:val="0"/>
      <w:marTop w:val="0"/>
      <w:marBottom w:val="0"/>
      <w:divBdr>
        <w:top w:val="none" w:sz="0" w:space="0" w:color="auto"/>
        <w:left w:val="none" w:sz="0" w:space="0" w:color="auto"/>
        <w:bottom w:val="none" w:sz="0" w:space="0" w:color="auto"/>
        <w:right w:val="none" w:sz="0" w:space="0" w:color="auto"/>
      </w:divBdr>
    </w:div>
    <w:div w:id="1877308817">
      <w:bodyDiv w:val="1"/>
      <w:marLeft w:val="0"/>
      <w:marRight w:val="0"/>
      <w:marTop w:val="0"/>
      <w:marBottom w:val="0"/>
      <w:divBdr>
        <w:top w:val="none" w:sz="0" w:space="0" w:color="auto"/>
        <w:left w:val="none" w:sz="0" w:space="0" w:color="auto"/>
        <w:bottom w:val="none" w:sz="0" w:space="0" w:color="auto"/>
        <w:right w:val="none" w:sz="0" w:space="0" w:color="auto"/>
      </w:divBdr>
    </w:div>
    <w:div w:id="1932927174">
      <w:bodyDiv w:val="1"/>
      <w:marLeft w:val="0"/>
      <w:marRight w:val="0"/>
      <w:marTop w:val="0"/>
      <w:marBottom w:val="0"/>
      <w:divBdr>
        <w:top w:val="none" w:sz="0" w:space="0" w:color="auto"/>
        <w:left w:val="none" w:sz="0" w:space="0" w:color="auto"/>
        <w:bottom w:val="none" w:sz="0" w:space="0" w:color="auto"/>
        <w:right w:val="none" w:sz="0" w:space="0" w:color="auto"/>
      </w:divBdr>
      <w:divsChild>
        <w:div w:id="529534353">
          <w:marLeft w:val="0"/>
          <w:marRight w:val="0"/>
          <w:marTop w:val="0"/>
          <w:marBottom w:val="0"/>
          <w:divBdr>
            <w:top w:val="none" w:sz="0" w:space="0" w:color="auto"/>
            <w:left w:val="none" w:sz="0" w:space="0" w:color="auto"/>
            <w:bottom w:val="none" w:sz="0" w:space="0" w:color="auto"/>
            <w:right w:val="none" w:sz="0" w:space="0" w:color="auto"/>
          </w:divBdr>
        </w:div>
      </w:divsChild>
    </w:div>
    <w:div w:id="1971012546">
      <w:bodyDiv w:val="1"/>
      <w:marLeft w:val="0"/>
      <w:marRight w:val="0"/>
      <w:marTop w:val="0"/>
      <w:marBottom w:val="0"/>
      <w:divBdr>
        <w:top w:val="none" w:sz="0" w:space="0" w:color="auto"/>
        <w:left w:val="none" w:sz="0" w:space="0" w:color="auto"/>
        <w:bottom w:val="none" w:sz="0" w:space="0" w:color="auto"/>
        <w:right w:val="none" w:sz="0" w:space="0" w:color="auto"/>
      </w:divBdr>
    </w:div>
    <w:div w:id="1975528269">
      <w:bodyDiv w:val="1"/>
      <w:marLeft w:val="0"/>
      <w:marRight w:val="0"/>
      <w:marTop w:val="0"/>
      <w:marBottom w:val="0"/>
      <w:divBdr>
        <w:top w:val="none" w:sz="0" w:space="0" w:color="auto"/>
        <w:left w:val="none" w:sz="0" w:space="0" w:color="auto"/>
        <w:bottom w:val="none" w:sz="0" w:space="0" w:color="auto"/>
        <w:right w:val="none" w:sz="0" w:space="0" w:color="auto"/>
      </w:divBdr>
    </w:div>
    <w:div w:id="1991401266">
      <w:bodyDiv w:val="1"/>
      <w:marLeft w:val="0"/>
      <w:marRight w:val="0"/>
      <w:marTop w:val="0"/>
      <w:marBottom w:val="0"/>
      <w:divBdr>
        <w:top w:val="none" w:sz="0" w:space="0" w:color="auto"/>
        <w:left w:val="none" w:sz="0" w:space="0" w:color="auto"/>
        <w:bottom w:val="none" w:sz="0" w:space="0" w:color="auto"/>
        <w:right w:val="none" w:sz="0" w:space="0" w:color="auto"/>
      </w:divBdr>
    </w:div>
    <w:div w:id="2057045163">
      <w:bodyDiv w:val="1"/>
      <w:marLeft w:val="0"/>
      <w:marRight w:val="0"/>
      <w:marTop w:val="0"/>
      <w:marBottom w:val="0"/>
      <w:divBdr>
        <w:top w:val="none" w:sz="0" w:space="0" w:color="auto"/>
        <w:left w:val="none" w:sz="0" w:space="0" w:color="auto"/>
        <w:bottom w:val="none" w:sz="0" w:space="0" w:color="auto"/>
        <w:right w:val="none" w:sz="0" w:space="0" w:color="auto"/>
      </w:divBdr>
    </w:div>
    <w:div w:id="20972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112A-641E-429C-AD5E-19217BCA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3244</Words>
  <Characters>21251</Characters>
  <Application>Microsoft Office Word</Application>
  <DocSecurity>0</DocSecurity>
  <Lines>177</Lines>
  <Paragraphs>48</Paragraphs>
  <ScaleCrop>false</ScaleCrop>
  <HeadingPairs>
    <vt:vector size="2" baseType="variant">
      <vt:variant>
        <vt:lpstr>Naslov</vt:lpstr>
      </vt:variant>
      <vt:variant>
        <vt:i4>1</vt:i4>
      </vt:variant>
    </vt:vector>
  </HeadingPairs>
  <TitlesOfParts>
    <vt:vector size="1" baseType="lpstr">
      <vt:lpstr>OBČINA CERKLJE</vt:lpstr>
    </vt:vector>
  </TitlesOfParts>
  <Company/>
  <LinksUpToDate>false</LinksUpToDate>
  <CharactersWithSpaces>24447</CharactersWithSpaces>
  <SharedDoc>false</SharedDoc>
  <HLinks>
    <vt:vector size="114" baseType="variant">
      <vt:variant>
        <vt:i4>1769524</vt:i4>
      </vt:variant>
      <vt:variant>
        <vt:i4>128</vt:i4>
      </vt:variant>
      <vt:variant>
        <vt:i4>0</vt:i4>
      </vt:variant>
      <vt:variant>
        <vt:i4>5</vt:i4>
      </vt:variant>
      <vt:variant>
        <vt:lpwstr/>
      </vt:variant>
      <vt:variant>
        <vt:lpwstr>_Toc484612503</vt:lpwstr>
      </vt:variant>
      <vt:variant>
        <vt:i4>1769524</vt:i4>
      </vt:variant>
      <vt:variant>
        <vt:i4>122</vt:i4>
      </vt:variant>
      <vt:variant>
        <vt:i4>0</vt:i4>
      </vt:variant>
      <vt:variant>
        <vt:i4>5</vt:i4>
      </vt:variant>
      <vt:variant>
        <vt:lpwstr/>
      </vt:variant>
      <vt:variant>
        <vt:lpwstr>_Toc484612502</vt:lpwstr>
      </vt:variant>
      <vt:variant>
        <vt:i4>1769524</vt:i4>
      </vt:variant>
      <vt:variant>
        <vt:i4>116</vt:i4>
      </vt:variant>
      <vt:variant>
        <vt:i4>0</vt:i4>
      </vt:variant>
      <vt:variant>
        <vt:i4>5</vt:i4>
      </vt:variant>
      <vt:variant>
        <vt:lpwstr/>
      </vt:variant>
      <vt:variant>
        <vt:lpwstr>_Toc484612501</vt:lpwstr>
      </vt:variant>
      <vt:variant>
        <vt:i4>1769524</vt:i4>
      </vt:variant>
      <vt:variant>
        <vt:i4>110</vt:i4>
      </vt:variant>
      <vt:variant>
        <vt:i4>0</vt:i4>
      </vt:variant>
      <vt:variant>
        <vt:i4>5</vt:i4>
      </vt:variant>
      <vt:variant>
        <vt:lpwstr/>
      </vt:variant>
      <vt:variant>
        <vt:lpwstr>_Toc484612500</vt:lpwstr>
      </vt:variant>
      <vt:variant>
        <vt:i4>1179701</vt:i4>
      </vt:variant>
      <vt:variant>
        <vt:i4>104</vt:i4>
      </vt:variant>
      <vt:variant>
        <vt:i4>0</vt:i4>
      </vt:variant>
      <vt:variant>
        <vt:i4>5</vt:i4>
      </vt:variant>
      <vt:variant>
        <vt:lpwstr/>
      </vt:variant>
      <vt:variant>
        <vt:lpwstr>_Toc484612499</vt:lpwstr>
      </vt:variant>
      <vt:variant>
        <vt:i4>1769530</vt:i4>
      </vt:variant>
      <vt:variant>
        <vt:i4>80</vt:i4>
      </vt:variant>
      <vt:variant>
        <vt:i4>0</vt:i4>
      </vt:variant>
      <vt:variant>
        <vt:i4>5</vt:i4>
      </vt:variant>
      <vt:variant>
        <vt:lpwstr/>
      </vt:variant>
      <vt:variant>
        <vt:lpwstr>_Toc484687257</vt:lpwstr>
      </vt:variant>
      <vt:variant>
        <vt:i4>1769530</vt:i4>
      </vt:variant>
      <vt:variant>
        <vt:i4>74</vt:i4>
      </vt:variant>
      <vt:variant>
        <vt:i4>0</vt:i4>
      </vt:variant>
      <vt:variant>
        <vt:i4>5</vt:i4>
      </vt:variant>
      <vt:variant>
        <vt:lpwstr/>
      </vt:variant>
      <vt:variant>
        <vt:lpwstr>_Toc484687256</vt:lpwstr>
      </vt:variant>
      <vt:variant>
        <vt:i4>1769530</vt:i4>
      </vt:variant>
      <vt:variant>
        <vt:i4>68</vt:i4>
      </vt:variant>
      <vt:variant>
        <vt:i4>0</vt:i4>
      </vt:variant>
      <vt:variant>
        <vt:i4>5</vt:i4>
      </vt:variant>
      <vt:variant>
        <vt:lpwstr/>
      </vt:variant>
      <vt:variant>
        <vt:lpwstr>_Toc484687255</vt:lpwstr>
      </vt:variant>
      <vt:variant>
        <vt:i4>1769530</vt:i4>
      </vt:variant>
      <vt:variant>
        <vt:i4>62</vt:i4>
      </vt:variant>
      <vt:variant>
        <vt:i4>0</vt:i4>
      </vt:variant>
      <vt:variant>
        <vt:i4>5</vt:i4>
      </vt:variant>
      <vt:variant>
        <vt:lpwstr/>
      </vt:variant>
      <vt:variant>
        <vt:lpwstr>_Toc484687254</vt:lpwstr>
      </vt:variant>
      <vt:variant>
        <vt:i4>1769530</vt:i4>
      </vt:variant>
      <vt:variant>
        <vt:i4>56</vt:i4>
      </vt:variant>
      <vt:variant>
        <vt:i4>0</vt:i4>
      </vt:variant>
      <vt:variant>
        <vt:i4>5</vt:i4>
      </vt:variant>
      <vt:variant>
        <vt:lpwstr/>
      </vt:variant>
      <vt:variant>
        <vt:lpwstr>_Toc484687253</vt:lpwstr>
      </vt:variant>
      <vt:variant>
        <vt:i4>1769530</vt:i4>
      </vt:variant>
      <vt:variant>
        <vt:i4>50</vt:i4>
      </vt:variant>
      <vt:variant>
        <vt:i4>0</vt:i4>
      </vt:variant>
      <vt:variant>
        <vt:i4>5</vt:i4>
      </vt:variant>
      <vt:variant>
        <vt:lpwstr/>
      </vt:variant>
      <vt:variant>
        <vt:lpwstr>_Toc484687252</vt:lpwstr>
      </vt:variant>
      <vt:variant>
        <vt:i4>1769530</vt:i4>
      </vt:variant>
      <vt:variant>
        <vt:i4>44</vt:i4>
      </vt:variant>
      <vt:variant>
        <vt:i4>0</vt:i4>
      </vt:variant>
      <vt:variant>
        <vt:i4>5</vt:i4>
      </vt:variant>
      <vt:variant>
        <vt:lpwstr/>
      </vt:variant>
      <vt:variant>
        <vt:lpwstr>_Toc484687251</vt:lpwstr>
      </vt:variant>
      <vt:variant>
        <vt:i4>1769530</vt:i4>
      </vt:variant>
      <vt:variant>
        <vt:i4>38</vt:i4>
      </vt:variant>
      <vt:variant>
        <vt:i4>0</vt:i4>
      </vt:variant>
      <vt:variant>
        <vt:i4>5</vt:i4>
      </vt:variant>
      <vt:variant>
        <vt:lpwstr/>
      </vt:variant>
      <vt:variant>
        <vt:lpwstr>_Toc484687250</vt:lpwstr>
      </vt:variant>
      <vt:variant>
        <vt:i4>1703994</vt:i4>
      </vt:variant>
      <vt:variant>
        <vt:i4>32</vt:i4>
      </vt:variant>
      <vt:variant>
        <vt:i4>0</vt:i4>
      </vt:variant>
      <vt:variant>
        <vt:i4>5</vt:i4>
      </vt:variant>
      <vt:variant>
        <vt:lpwstr/>
      </vt:variant>
      <vt:variant>
        <vt:lpwstr>_Toc484687249</vt:lpwstr>
      </vt:variant>
      <vt:variant>
        <vt:i4>1703994</vt:i4>
      </vt:variant>
      <vt:variant>
        <vt:i4>26</vt:i4>
      </vt:variant>
      <vt:variant>
        <vt:i4>0</vt:i4>
      </vt:variant>
      <vt:variant>
        <vt:i4>5</vt:i4>
      </vt:variant>
      <vt:variant>
        <vt:lpwstr/>
      </vt:variant>
      <vt:variant>
        <vt:lpwstr>_Toc484687248</vt:lpwstr>
      </vt:variant>
      <vt:variant>
        <vt:i4>1703994</vt:i4>
      </vt:variant>
      <vt:variant>
        <vt:i4>20</vt:i4>
      </vt:variant>
      <vt:variant>
        <vt:i4>0</vt:i4>
      </vt:variant>
      <vt:variant>
        <vt:i4>5</vt:i4>
      </vt:variant>
      <vt:variant>
        <vt:lpwstr/>
      </vt:variant>
      <vt:variant>
        <vt:lpwstr>_Toc484687247</vt:lpwstr>
      </vt:variant>
      <vt:variant>
        <vt:i4>1703994</vt:i4>
      </vt:variant>
      <vt:variant>
        <vt:i4>14</vt:i4>
      </vt:variant>
      <vt:variant>
        <vt:i4>0</vt:i4>
      </vt:variant>
      <vt:variant>
        <vt:i4>5</vt:i4>
      </vt:variant>
      <vt:variant>
        <vt:lpwstr/>
      </vt:variant>
      <vt:variant>
        <vt:lpwstr>_Toc484687246</vt:lpwstr>
      </vt:variant>
      <vt:variant>
        <vt:i4>1703994</vt:i4>
      </vt:variant>
      <vt:variant>
        <vt:i4>8</vt:i4>
      </vt:variant>
      <vt:variant>
        <vt:i4>0</vt:i4>
      </vt:variant>
      <vt:variant>
        <vt:i4>5</vt:i4>
      </vt:variant>
      <vt:variant>
        <vt:lpwstr/>
      </vt:variant>
      <vt:variant>
        <vt:lpwstr>_Toc484687245</vt:lpwstr>
      </vt:variant>
      <vt:variant>
        <vt:i4>1703994</vt:i4>
      </vt:variant>
      <vt:variant>
        <vt:i4>2</vt:i4>
      </vt:variant>
      <vt:variant>
        <vt:i4>0</vt:i4>
      </vt:variant>
      <vt:variant>
        <vt:i4>5</vt:i4>
      </vt:variant>
      <vt:variant>
        <vt:lpwstr/>
      </vt:variant>
      <vt:variant>
        <vt:lpwstr>_Toc484687244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CERKLJE</dc:title>
  <dc:subject/>
  <dc:creator>OBČINA CERKLJE</dc:creator>
  <cp:keywords/>
  <cp:lastModifiedBy>Jana</cp:lastModifiedBy>
  <cp:revision>3</cp:revision>
  <cp:lastPrinted>2017-06-08T12:05:00Z</cp:lastPrinted>
  <dcterms:created xsi:type="dcterms:W3CDTF">2017-06-08T12:03:00Z</dcterms:created>
  <dcterms:modified xsi:type="dcterms:W3CDTF">2017-06-08T12:06:00Z</dcterms:modified>
</cp:coreProperties>
</file>