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994C5B" w:rsidTr="00900C84">
        <w:tc>
          <w:tcPr>
            <w:tcW w:w="1913" w:type="dxa"/>
          </w:tcPr>
          <w:p w:rsidR="00994C5B" w:rsidRDefault="00994C5B" w:rsidP="00CE127C">
            <w:pPr>
              <w:pStyle w:val="Glava"/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914400" cy="1021080"/>
                  <wp:effectExtent l="0" t="0" r="0" b="762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9" w:type="dxa"/>
          </w:tcPr>
          <w:p w:rsidR="00994C5B" w:rsidRPr="0041425D" w:rsidRDefault="00994C5B" w:rsidP="00CE127C">
            <w:pPr>
              <w:pStyle w:val="Glava"/>
              <w:jc w:val="both"/>
              <w:rPr>
                <w:sz w:val="24"/>
                <w:szCs w:val="24"/>
              </w:rPr>
            </w:pPr>
            <w:r w:rsidRPr="0041425D">
              <w:rPr>
                <w:sz w:val="24"/>
                <w:szCs w:val="24"/>
              </w:rPr>
              <w:t>OBČINA ŠENČUR</w:t>
            </w:r>
          </w:p>
          <w:p w:rsidR="00994C5B" w:rsidRPr="0041425D" w:rsidRDefault="00994C5B" w:rsidP="00CE127C">
            <w:pPr>
              <w:pStyle w:val="Glava"/>
              <w:jc w:val="both"/>
              <w:rPr>
                <w:sz w:val="24"/>
                <w:szCs w:val="24"/>
              </w:rPr>
            </w:pPr>
            <w:r w:rsidRPr="0041425D">
              <w:rPr>
                <w:sz w:val="24"/>
                <w:szCs w:val="24"/>
              </w:rPr>
              <w:t>Kranjska 11</w:t>
            </w:r>
          </w:p>
          <w:p w:rsidR="00994C5B" w:rsidRPr="0041425D" w:rsidRDefault="00994C5B" w:rsidP="00CE127C">
            <w:pPr>
              <w:pStyle w:val="Glava"/>
              <w:jc w:val="both"/>
              <w:rPr>
                <w:sz w:val="24"/>
                <w:szCs w:val="24"/>
              </w:rPr>
            </w:pPr>
            <w:r w:rsidRPr="0041425D">
              <w:rPr>
                <w:sz w:val="24"/>
                <w:szCs w:val="24"/>
              </w:rPr>
              <w:t>4208 Šenčur</w:t>
            </w:r>
          </w:p>
          <w:p w:rsidR="00994C5B" w:rsidRPr="0041425D" w:rsidRDefault="00994C5B" w:rsidP="00CE127C">
            <w:pPr>
              <w:pStyle w:val="Glava"/>
              <w:jc w:val="both"/>
              <w:rPr>
                <w:sz w:val="24"/>
                <w:szCs w:val="24"/>
              </w:rPr>
            </w:pPr>
            <w:r w:rsidRPr="0041425D">
              <w:rPr>
                <w:sz w:val="24"/>
                <w:szCs w:val="24"/>
              </w:rPr>
              <w:t xml:space="preserve">tel. 04/ 25-19-100  </w:t>
            </w:r>
            <w:proofErr w:type="spellStart"/>
            <w:r w:rsidRPr="0041425D">
              <w:rPr>
                <w:sz w:val="24"/>
                <w:szCs w:val="24"/>
              </w:rPr>
              <w:t>fax</w:t>
            </w:r>
            <w:proofErr w:type="spellEnd"/>
            <w:r w:rsidRPr="0041425D">
              <w:rPr>
                <w:sz w:val="24"/>
                <w:szCs w:val="24"/>
              </w:rPr>
              <w:t>. 25-19-111</w:t>
            </w:r>
          </w:p>
          <w:p w:rsidR="00994C5B" w:rsidRPr="0041425D" w:rsidRDefault="00994C5B" w:rsidP="00CE127C">
            <w:pPr>
              <w:pStyle w:val="Glava"/>
              <w:jc w:val="both"/>
              <w:rPr>
                <w:sz w:val="24"/>
                <w:szCs w:val="24"/>
              </w:rPr>
            </w:pPr>
            <w:r w:rsidRPr="0041425D">
              <w:rPr>
                <w:sz w:val="24"/>
                <w:szCs w:val="24"/>
              </w:rPr>
              <w:t>e-</w:t>
            </w:r>
            <w:proofErr w:type="spellStart"/>
            <w:r w:rsidRPr="0041425D">
              <w:rPr>
                <w:sz w:val="24"/>
                <w:szCs w:val="24"/>
              </w:rPr>
              <w:t>mail</w:t>
            </w:r>
            <w:proofErr w:type="spellEnd"/>
            <w:r w:rsidRPr="0041425D">
              <w:rPr>
                <w:sz w:val="24"/>
                <w:szCs w:val="24"/>
              </w:rPr>
              <w:t>:obcina@sencur.si</w:t>
            </w:r>
          </w:p>
          <w:p w:rsidR="00994C5B" w:rsidRDefault="00D77FB4" w:rsidP="00CE127C">
            <w:pPr>
              <w:pStyle w:val="Glava"/>
              <w:jc w:val="both"/>
            </w:pPr>
            <w:hyperlink r:id="rId8" w:history="1">
              <w:r w:rsidR="00994C5B" w:rsidRPr="0041425D">
                <w:rPr>
                  <w:rStyle w:val="Hiperpovezava"/>
                  <w:sz w:val="24"/>
                  <w:szCs w:val="24"/>
                </w:rPr>
                <w:t>url:www.sencur.si</w:t>
              </w:r>
            </w:hyperlink>
          </w:p>
        </w:tc>
      </w:tr>
    </w:tbl>
    <w:p w:rsidR="00994C5B" w:rsidRDefault="00994C5B" w:rsidP="00CE127C">
      <w:pPr>
        <w:jc w:val="both"/>
      </w:pPr>
    </w:p>
    <w:p w:rsidR="00994C5B" w:rsidRDefault="00994C5B" w:rsidP="00CE127C">
      <w:pPr>
        <w:jc w:val="both"/>
        <w:rPr>
          <w:b/>
        </w:rPr>
      </w:pPr>
      <w:r w:rsidRPr="00925E61">
        <w:rPr>
          <w:b/>
        </w:rPr>
        <w:t>NADZORNI ODBOR</w:t>
      </w:r>
    </w:p>
    <w:p w:rsidR="00994C5B" w:rsidRPr="00EA1A7D" w:rsidRDefault="00994C5B" w:rsidP="00CE1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Šenčur,</w:t>
      </w:r>
      <w:r w:rsidR="00BF1DF4">
        <w:rPr>
          <w:rFonts w:ascii="Times New Roman" w:hAnsi="Times New Roman" w:cs="Times New Roman"/>
          <w:sz w:val="24"/>
          <w:szCs w:val="24"/>
        </w:rPr>
        <w:t xml:space="preserve"> 17</w:t>
      </w:r>
      <w:r w:rsidR="000A7CA5">
        <w:rPr>
          <w:rFonts w:ascii="Times New Roman" w:hAnsi="Times New Roman" w:cs="Times New Roman"/>
          <w:sz w:val="24"/>
          <w:szCs w:val="24"/>
        </w:rPr>
        <w:t>.9.2014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C5B" w:rsidRDefault="00994C5B" w:rsidP="00CE1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Številka: </w:t>
      </w:r>
      <w:r w:rsidR="000A7CA5">
        <w:rPr>
          <w:rFonts w:ascii="Times New Roman" w:hAnsi="Times New Roman" w:cs="Times New Roman"/>
          <w:sz w:val="24"/>
          <w:szCs w:val="24"/>
        </w:rPr>
        <w:t>060-0001/2014-16</w:t>
      </w:r>
    </w:p>
    <w:p w:rsidR="00994C5B" w:rsidRDefault="00994C5B" w:rsidP="00CE127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81475" w:rsidRDefault="00781475" w:rsidP="00CE127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94C5B" w:rsidRDefault="00994C5B" w:rsidP="00CE127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94C5B" w:rsidRDefault="00F624CD" w:rsidP="00CE127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F624CD">
        <w:rPr>
          <w:rFonts w:ascii="Times New Roman" w:hAnsi="Times New Roman" w:cs="Times New Roman"/>
          <w:sz w:val="24"/>
          <w:szCs w:val="24"/>
        </w:rPr>
        <w:t xml:space="preserve">Nadzorni odbor Občine Šenčur je na svoji 32.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624CD">
        <w:rPr>
          <w:rFonts w:ascii="Times New Roman" w:hAnsi="Times New Roman" w:cs="Times New Roman"/>
          <w:sz w:val="24"/>
          <w:szCs w:val="24"/>
        </w:rPr>
        <w:t xml:space="preserve">eji, dne 17. 9. 2014 sprejel </w:t>
      </w:r>
    </w:p>
    <w:p w:rsidR="00F624CD" w:rsidRPr="00F624CD" w:rsidRDefault="00F624CD" w:rsidP="00CE127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F624CD" w:rsidRPr="00F624CD" w:rsidRDefault="00F624CD" w:rsidP="00F624CD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4CD">
        <w:rPr>
          <w:rFonts w:ascii="Times New Roman" w:hAnsi="Times New Roman" w:cs="Times New Roman"/>
          <w:b/>
          <w:sz w:val="28"/>
          <w:szCs w:val="28"/>
        </w:rPr>
        <w:t>ZAKLJUČNO POROČILO O DELU NADZORNEGA ODBORA OBČINE ŠENČUR V MANDATNEM OBDOBJU 2010- 2014</w:t>
      </w:r>
    </w:p>
    <w:p w:rsidR="00F624CD" w:rsidRDefault="00F624CD" w:rsidP="00CE127C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781475" w:rsidRDefault="00781475" w:rsidP="00CE127C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F624CD" w:rsidRDefault="00F624CD" w:rsidP="00F624CD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4CD">
        <w:rPr>
          <w:rFonts w:ascii="Times New Roman" w:hAnsi="Times New Roman" w:cs="Times New Roman"/>
          <w:sz w:val="24"/>
          <w:szCs w:val="24"/>
        </w:rPr>
        <w:t>UVOD</w:t>
      </w:r>
    </w:p>
    <w:p w:rsidR="00F624CD" w:rsidRDefault="00F624CD" w:rsidP="00F624C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F624CD" w:rsidRDefault="00F624CD" w:rsidP="00F624C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Nadzorni odbor (v nadaljevanju NO) je najvišji organ </w:t>
      </w:r>
      <w:r w:rsidR="00DA400D">
        <w:rPr>
          <w:rFonts w:ascii="Times New Roman" w:hAnsi="Times New Roman" w:cs="Times New Roman"/>
          <w:sz w:val="24"/>
          <w:szCs w:val="24"/>
        </w:rPr>
        <w:t xml:space="preserve">nadzora </w:t>
      </w:r>
      <w:r>
        <w:rPr>
          <w:rFonts w:ascii="Times New Roman" w:hAnsi="Times New Roman" w:cs="Times New Roman"/>
          <w:sz w:val="24"/>
          <w:szCs w:val="24"/>
        </w:rPr>
        <w:t>javne porabe v občini, ki deluje v okviru svojih pristojnosti samostojno in neodvisno.</w:t>
      </w:r>
    </w:p>
    <w:p w:rsidR="00F624CD" w:rsidRDefault="00F624CD" w:rsidP="00F624C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F624CD" w:rsidRDefault="00F624CD" w:rsidP="00F624C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Svoje delo opravlja na podlagi nalog, ki jih določajo Zakon o lokalni samoupravi, Statut O</w:t>
      </w:r>
      <w:r w:rsidR="00530F76">
        <w:rPr>
          <w:rFonts w:ascii="Times New Roman" w:hAnsi="Times New Roman" w:cs="Times New Roman"/>
          <w:sz w:val="24"/>
          <w:szCs w:val="24"/>
        </w:rPr>
        <w:t>bčine Šenčur in Poslovnik NO Obč</w:t>
      </w:r>
      <w:r>
        <w:rPr>
          <w:rFonts w:ascii="Times New Roman" w:hAnsi="Times New Roman" w:cs="Times New Roman"/>
          <w:sz w:val="24"/>
          <w:szCs w:val="24"/>
        </w:rPr>
        <w:t xml:space="preserve">ine Šenčur. NO v okviru svojih pristojnosti opravlja nadzor nad razpolaganjem </w:t>
      </w:r>
      <w:r w:rsidR="0061797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premoženjem občine, nadzoruje namenskost in smotrnost porabe sredstev občinskega premoženja</w:t>
      </w:r>
      <w:r w:rsidR="003E3AB6">
        <w:rPr>
          <w:rFonts w:ascii="Times New Roman" w:hAnsi="Times New Roman" w:cs="Times New Roman"/>
          <w:sz w:val="24"/>
          <w:szCs w:val="24"/>
        </w:rPr>
        <w:t xml:space="preserve">, ter nadzoruje finančno poslovanje uporabnikov proračunskih sredstev. </w:t>
      </w:r>
    </w:p>
    <w:p w:rsidR="009B638B" w:rsidRDefault="009B638B" w:rsidP="00F624C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B638B" w:rsidRDefault="009B638B" w:rsidP="00F624C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Glede na navedeno ima NO aktivno vlogo in pomemben učinek na </w:t>
      </w:r>
      <w:r w:rsidR="0098131D">
        <w:rPr>
          <w:rFonts w:ascii="Times New Roman" w:hAnsi="Times New Roman" w:cs="Times New Roman"/>
          <w:sz w:val="24"/>
          <w:szCs w:val="24"/>
        </w:rPr>
        <w:t>pravilnost in smotrnost</w:t>
      </w:r>
      <w:r>
        <w:rPr>
          <w:rFonts w:ascii="Times New Roman" w:hAnsi="Times New Roman" w:cs="Times New Roman"/>
          <w:sz w:val="24"/>
          <w:szCs w:val="24"/>
        </w:rPr>
        <w:t xml:space="preserve"> poslovanja občine in pravnih oseb javnega prava na ravni občine.</w:t>
      </w:r>
    </w:p>
    <w:p w:rsidR="009B638B" w:rsidRDefault="009B638B" w:rsidP="00F624C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B638B" w:rsidRDefault="009B638B" w:rsidP="00F624C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sprejme svoj program dela za posamezno leto. </w:t>
      </w:r>
    </w:p>
    <w:p w:rsidR="009B638B" w:rsidRDefault="009B638B" w:rsidP="00F624C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B638B" w:rsidRDefault="009B638B" w:rsidP="00F624C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B638B" w:rsidRDefault="009B638B" w:rsidP="009B638B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KADROVSKA SESTAVA IN DELOVANJA NO</w:t>
      </w:r>
    </w:p>
    <w:p w:rsidR="009B638B" w:rsidRDefault="009B638B" w:rsidP="009B638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B638B" w:rsidRDefault="009B638B" w:rsidP="009B638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Občinski svet</w:t>
      </w:r>
      <w:r w:rsidR="00C21735">
        <w:rPr>
          <w:rFonts w:ascii="Times New Roman" w:hAnsi="Times New Roman" w:cs="Times New Roman"/>
          <w:sz w:val="24"/>
          <w:szCs w:val="24"/>
        </w:rPr>
        <w:t xml:space="preserve"> Občine Šenčur je na svoji drugi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73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 w:rsidR="00C2173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ni seji, dne 24. 11. 2010 imenoval člane NO Občine Šenčur v sestavi</w:t>
      </w:r>
      <w:r w:rsidRPr="009B6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Vida Tičar Rebolj, Bojan Jurančič, Sebastian Mohar, Marko Pogačnik in Ciril Sitar. </w:t>
      </w:r>
    </w:p>
    <w:p w:rsidR="009B638B" w:rsidRDefault="009B638B" w:rsidP="009B638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B638B" w:rsidRDefault="009B638B" w:rsidP="009B638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Prvo </w:t>
      </w:r>
      <w:r w:rsidR="00781475">
        <w:rPr>
          <w:rFonts w:ascii="Times New Roman" w:hAnsi="Times New Roman" w:cs="Times New Roman"/>
          <w:sz w:val="24"/>
          <w:szCs w:val="24"/>
        </w:rPr>
        <w:t>konstitutivno</w:t>
      </w:r>
      <w:r>
        <w:rPr>
          <w:rFonts w:ascii="Times New Roman" w:hAnsi="Times New Roman" w:cs="Times New Roman"/>
          <w:sz w:val="24"/>
          <w:szCs w:val="24"/>
        </w:rPr>
        <w:t xml:space="preserve"> sejo NO Občine Šenčur je v skladu z določili Statuta Občine Šenčur sklical župan Miro </w:t>
      </w:r>
      <w:proofErr w:type="spellStart"/>
      <w:r>
        <w:rPr>
          <w:rFonts w:ascii="Times New Roman" w:hAnsi="Times New Roman" w:cs="Times New Roman"/>
          <w:sz w:val="24"/>
          <w:szCs w:val="24"/>
        </w:rPr>
        <w:t>Kozelj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dne 9. 12. 2010. Na tej seji so se člani seznanili z vlogo, pristojnostmi in nalogami NO, ter izvolili predsednika. V omenjeni sestavi je NO deloval do 31. 1. 2012. S </w:t>
      </w:r>
      <w:r w:rsidR="0075454A">
        <w:rPr>
          <w:rFonts w:ascii="Times New Roman" w:hAnsi="Times New Roman" w:cs="Times New Roman"/>
          <w:sz w:val="24"/>
          <w:szCs w:val="24"/>
        </w:rPr>
        <w:t>tem dnem je v NO preneh</w:t>
      </w:r>
      <w:r>
        <w:rPr>
          <w:rFonts w:ascii="Times New Roman" w:hAnsi="Times New Roman" w:cs="Times New Roman"/>
          <w:sz w:val="24"/>
          <w:szCs w:val="24"/>
        </w:rPr>
        <w:t xml:space="preserve">al z delom Marko Pogačnik, ki je odstopil zaradi izvolitve za </w:t>
      </w:r>
      <w:r>
        <w:rPr>
          <w:rFonts w:ascii="Times New Roman" w:hAnsi="Times New Roman" w:cs="Times New Roman"/>
          <w:sz w:val="24"/>
          <w:szCs w:val="24"/>
        </w:rPr>
        <w:lastRenderedPageBreak/>
        <w:t>poslanca v Državnem zboru RS. Občinski svet je na 11. redni seji, dne 15. 2. 2012 imenoval novo članico NO Tatjano Kristanc.</w:t>
      </w:r>
    </w:p>
    <w:p w:rsidR="0075454A" w:rsidRDefault="0075454A" w:rsidP="009B638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je v tem mandatnem obdobju imel skupaj 32 rednih sej, in sicer v letu 2010 eno sejo, v letu 2011 sedem sej, v letu 2012 se je sestal na devetih sejah, v letu 2013 na osmih sejah in v letu 2014 na sedmih sejah. Vse sklicane seje so bile sklepčne. Poleg rednih sej je bilo organiziranih večje število razgovorov in sestankov delovnih skupin določenih za posamezne nadzore s predstavniki nadzorovanih oseb.</w:t>
      </w:r>
    </w:p>
    <w:p w:rsidR="0075454A" w:rsidRDefault="0075454A" w:rsidP="009B638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5454A" w:rsidRPr="00F624CD" w:rsidRDefault="0075454A" w:rsidP="009B638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seje NO je bil vedno vabljen tudi župan in glede na vsebino obravnavanih tem dnevnega reda tudi javni uslužbenci občinske uprave.</w:t>
      </w:r>
    </w:p>
    <w:p w:rsidR="00F624CD" w:rsidRDefault="00F624CD" w:rsidP="00CE127C">
      <w:pPr>
        <w:pStyle w:val="Brezrazmikov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2F3" w:rsidRDefault="007762F3" w:rsidP="00CE127C">
      <w:pPr>
        <w:pStyle w:val="Brezrazmikov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2F3" w:rsidRDefault="007762F3" w:rsidP="007762F3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PREGLED OBRAVNAVANIH TEM IN ODLOČITEV NO</w:t>
      </w:r>
    </w:p>
    <w:p w:rsidR="007762F3" w:rsidRDefault="007762F3" w:rsidP="007762F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762F3" w:rsidRDefault="007762F3" w:rsidP="007762F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je v okviru svojih pristojnosti in letnih programov dela izvedel naslednje aktivnosti:</w:t>
      </w:r>
    </w:p>
    <w:p w:rsidR="007762F3" w:rsidRDefault="007762F3" w:rsidP="007762F3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Seznanitev s poročili o delu NO in opravljenih nadzorih v prejšnjem mandatu</w:t>
      </w:r>
    </w:p>
    <w:p w:rsidR="007762F3" w:rsidRDefault="007762F3" w:rsidP="007762F3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Sprejem novega poslovnika NO</w:t>
      </w:r>
    </w:p>
    <w:p w:rsidR="007762F3" w:rsidRDefault="007762F3" w:rsidP="007762F3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Seznanitev s predlogom novega Statuta Občine Šenčur</w:t>
      </w:r>
    </w:p>
    <w:p w:rsidR="007762F3" w:rsidRDefault="007762F3" w:rsidP="007762F3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Sprejem letnih programov dela</w:t>
      </w:r>
      <w:r w:rsidR="004B4D32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 za leto 2011, za leto 2012, za leto 2013 in za leto 2014</w:t>
      </w:r>
    </w:p>
    <w:p w:rsidR="004B4D32" w:rsidRDefault="007762F3" w:rsidP="007762F3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D32">
        <w:rPr>
          <w:rFonts w:ascii="Times New Roman" w:hAnsi="Times New Roman" w:cs="Times New Roman"/>
          <w:sz w:val="24"/>
          <w:szCs w:val="24"/>
        </w:rPr>
        <w:t>Sprejem letnih poročil dela NO za leto 2011, za</w:t>
      </w:r>
      <w:r w:rsidR="004B4D32">
        <w:rPr>
          <w:rFonts w:ascii="Times New Roman" w:hAnsi="Times New Roman" w:cs="Times New Roman"/>
          <w:sz w:val="24"/>
          <w:szCs w:val="24"/>
        </w:rPr>
        <w:t xml:space="preserve"> leto 2012 in</w:t>
      </w:r>
      <w:r w:rsidR="004B4D32" w:rsidRPr="004B4D32">
        <w:rPr>
          <w:rFonts w:ascii="Times New Roman" w:hAnsi="Times New Roman" w:cs="Times New Roman"/>
          <w:sz w:val="24"/>
          <w:szCs w:val="24"/>
        </w:rPr>
        <w:t xml:space="preserve"> za leto 2013 </w:t>
      </w:r>
    </w:p>
    <w:p w:rsidR="007762F3" w:rsidRPr="004B4D32" w:rsidRDefault="007762F3" w:rsidP="007762F3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D32">
        <w:rPr>
          <w:rFonts w:ascii="Times New Roman" w:hAnsi="Times New Roman" w:cs="Times New Roman"/>
          <w:sz w:val="24"/>
          <w:szCs w:val="24"/>
        </w:rPr>
        <w:t>Seznanitev s predlogom proračuna Občine Šenčur za leto 2011, za leto 2012, za leto 2013 in za leto 2014</w:t>
      </w:r>
    </w:p>
    <w:p w:rsidR="007762F3" w:rsidRDefault="007762F3" w:rsidP="007762F3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Sprejem pobude, da se preučijo vse dane možnosti črpanja sredstev EU</w:t>
      </w:r>
    </w:p>
    <w:p w:rsidR="007762F3" w:rsidRDefault="007762F3" w:rsidP="007762F3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Sprejem pobude, da se preučijo možnosti dajanja občinskih streh v najem (</w:t>
      </w:r>
      <w:proofErr w:type="spellStart"/>
      <w:r>
        <w:rPr>
          <w:rFonts w:ascii="Times New Roman" w:hAnsi="Times New Roman" w:cs="Times New Roman"/>
          <w:sz w:val="24"/>
          <w:szCs w:val="24"/>
        </w:rPr>
        <w:t>fotovoltaika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D62EA" w:rsidRDefault="00ED62EA" w:rsidP="007762F3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Seznanitev s predlogom novega Poslovnika Občinskega sveta Občine Šenčur</w:t>
      </w:r>
    </w:p>
    <w:p w:rsidR="00ED62EA" w:rsidRDefault="00ED62EA" w:rsidP="007762F3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Pregled polletnih poročil o realizaciji proračuna Občine Šenčur v letih 2011, 2012, 2013 in 2014</w:t>
      </w:r>
    </w:p>
    <w:p w:rsidR="00ED62EA" w:rsidRDefault="00ED62EA" w:rsidP="007762F3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Seznanitev s predlogom Pravilnika o plačah in drugih prejemkih občinskih funkcionarjev in članov delovnih teles Občinskega sveta, ter drugih občinskih organov, ter o povračilu stroškov</w:t>
      </w:r>
    </w:p>
    <w:p w:rsidR="00ED62EA" w:rsidRDefault="00ED62EA" w:rsidP="007762F3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Seznanitev s predlogi odlokov o proračunu Občine Šenčur za leto 2011, 2012, 2013 in 2014</w:t>
      </w:r>
    </w:p>
    <w:p w:rsidR="00ED62EA" w:rsidRDefault="00ED62EA" w:rsidP="007762F3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Seznanitev o izvajanju aktivnosti v občini za pridobivanje evropskih sredstev za posamezne investicijske projekte</w:t>
      </w:r>
    </w:p>
    <w:p w:rsidR="00ED62EA" w:rsidRDefault="00ED62EA" w:rsidP="007762F3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Sprejem dveh pobud za izvedbo izrednih nadzorov</w:t>
      </w:r>
    </w:p>
    <w:p w:rsidR="00ED62EA" w:rsidRDefault="00ED62EA" w:rsidP="007762F3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Seznanitev o urejanju in stanju evidence nepremičninskega premoženja občine</w:t>
      </w:r>
    </w:p>
    <w:p w:rsidR="00ED62EA" w:rsidRDefault="00ED62EA" w:rsidP="007762F3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Sprejem sklepov o izvedbi posameznih nadzorov načrtovanih v letnih programih dela</w:t>
      </w:r>
    </w:p>
    <w:p w:rsidR="00ED62EA" w:rsidRDefault="00ED62EA" w:rsidP="007762F3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Sprejem sklepov o potrditvi osnutkov poročil in končnih poročil o izvedenih nadzorih</w:t>
      </w:r>
    </w:p>
    <w:p w:rsidR="00ED62EA" w:rsidRDefault="000826A6" w:rsidP="007762F3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Izdaja soglasja k povečanju vrednosti pogodbe za rekonstrukcijo cest v Občini Šenčur za leto 2013, zaradi spremembe in povečanja obsega predmeta pogodbe</w:t>
      </w:r>
    </w:p>
    <w:p w:rsidR="000826A6" w:rsidRDefault="000826A6" w:rsidP="007762F3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Spremljanje izvajanja sprejetih priporočil in predlogov ukrepov za izboljšanje poslovanja nadzorovanih oseb</w:t>
      </w:r>
    </w:p>
    <w:p w:rsidR="000826A6" w:rsidRDefault="000826A6" w:rsidP="007762F3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Redno spremljanje uresničevanja sklepov NO</w:t>
      </w:r>
    </w:p>
    <w:p w:rsidR="00321D46" w:rsidRDefault="00321D46" w:rsidP="00321D4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4B4D32" w:rsidRDefault="004B4D32" w:rsidP="00321D4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4B4D32" w:rsidRDefault="004B4D32" w:rsidP="00321D4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4B4D32" w:rsidRDefault="004B4D32" w:rsidP="00321D4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321D46" w:rsidRDefault="00321D46" w:rsidP="00321D4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321D46" w:rsidRDefault="00321D46" w:rsidP="00321D46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IZVEDBA NADZOROV</w:t>
      </w:r>
    </w:p>
    <w:p w:rsidR="00321D46" w:rsidRDefault="00321D46" w:rsidP="00321D4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321D46" w:rsidRDefault="00321D46" w:rsidP="00321D4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je izvajal postopke nadzora na podlagi sprejetih letnih programov</w:t>
      </w:r>
      <w:r w:rsidR="00DC1FAC">
        <w:rPr>
          <w:rFonts w:ascii="Times New Roman" w:hAnsi="Times New Roman" w:cs="Times New Roman"/>
          <w:sz w:val="24"/>
          <w:szCs w:val="24"/>
        </w:rPr>
        <w:t xml:space="preserve"> dela</w:t>
      </w:r>
      <w:r>
        <w:rPr>
          <w:rFonts w:ascii="Times New Roman" w:hAnsi="Times New Roman" w:cs="Times New Roman"/>
          <w:sz w:val="24"/>
          <w:szCs w:val="24"/>
        </w:rPr>
        <w:t xml:space="preserve"> za posamezno leto. Za vsak nadzor so bili sprejeti sklep o izvedbi nadzora, s katerimi smo seznanili župana in odgovorno oseb proračunskega porabnika, pri katerem je bil nadzor izveden. V tem mandatnem obdobju so bili načrtovani in izvedeni naslednji nadzori:</w:t>
      </w:r>
    </w:p>
    <w:p w:rsidR="00321D46" w:rsidRDefault="00321D46" w:rsidP="00321D46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Zaključnega računa proračuna Občine Šenčur za leto 2010</w:t>
      </w:r>
    </w:p>
    <w:p w:rsidR="00321D46" w:rsidRDefault="00321D46" w:rsidP="00321D46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Poslovanja Krajevne skupnosti Trboje za leto 2010</w:t>
      </w:r>
    </w:p>
    <w:p w:rsidR="00321D46" w:rsidRDefault="00321D46" w:rsidP="00321D46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Finančnega poslovanja Društva upokojencev Šenčur za leto 2010</w:t>
      </w:r>
    </w:p>
    <w:p w:rsidR="00E1228F" w:rsidRDefault="00E1228F" w:rsidP="00321D46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 finančnega poslovanja Osnovne šole Šenčur za leto 2010</w:t>
      </w:r>
    </w:p>
    <w:p w:rsidR="00321D46" w:rsidRDefault="00321D46" w:rsidP="00321D46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Nakupov in prodaje nepremičnin za </w:t>
      </w:r>
      <w:r w:rsidR="004B4D32">
        <w:rPr>
          <w:rFonts w:ascii="Times New Roman" w:hAnsi="Times New Roman" w:cs="Times New Roman"/>
          <w:sz w:val="24"/>
          <w:szCs w:val="24"/>
        </w:rPr>
        <w:t xml:space="preserve">Občine Šenčur za </w:t>
      </w:r>
      <w:r>
        <w:rPr>
          <w:rFonts w:ascii="Times New Roman" w:hAnsi="Times New Roman" w:cs="Times New Roman"/>
          <w:sz w:val="24"/>
          <w:szCs w:val="24"/>
        </w:rPr>
        <w:t>leti 2010 in 2011</w:t>
      </w:r>
    </w:p>
    <w:p w:rsidR="00321D46" w:rsidRDefault="00321D46" w:rsidP="00321D46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Zaključnega računa proračuna Občine Šenčur za leto 2011</w:t>
      </w:r>
    </w:p>
    <w:p w:rsidR="00321D46" w:rsidRDefault="00321D46" w:rsidP="00321D46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Finančnega poslovanja Športnega društva Šenčur za leto 2011</w:t>
      </w:r>
    </w:p>
    <w:p w:rsidR="00321D46" w:rsidRDefault="00321D46" w:rsidP="00321D46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Porabe proračunskih sredstev za spodbujanje razvoja gospodarstva v Občini Šenčur za leto 2011</w:t>
      </w:r>
    </w:p>
    <w:p w:rsidR="00D42797" w:rsidRDefault="00D42797" w:rsidP="00321D46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Investicije rekonstrukcije cest v </w:t>
      </w:r>
      <w:r w:rsidR="004D00B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bčini Šenčur v treh sklopih: Šenčur – Visoko, LC 251010 Tacen – Trboje – Kranj (Trboje – občinska meja) in Voklo – Voglje</w:t>
      </w:r>
    </w:p>
    <w:p w:rsidR="00D42797" w:rsidRDefault="00D42797" w:rsidP="00321D46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Zaključnega računa proračuna Občine Šenčur za leto 2012</w:t>
      </w:r>
    </w:p>
    <w:p w:rsidR="00D42797" w:rsidRDefault="00D42797" w:rsidP="00321D46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Javnih naročil Občine Šenčur za leto 2012</w:t>
      </w:r>
    </w:p>
    <w:p w:rsidR="00D42797" w:rsidRDefault="00D42797" w:rsidP="00321D46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Finančnega poslovanja Športnega društva </w:t>
      </w:r>
      <w:proofErr w:type="spellStart"/>
      <w:r>
        <w:rPr>
          <w:rFonts w:ascii="Times New Roman" w:hAnsi="Times New Roman" w:cs="Times New Roman"/>
          <w:sz w:val="24"/>
          <w:szCs w:val="24"/>
        </w:rPr>
        <w:t>BAM.Bi</w:t>
      </w:r>
      <w:proofErr w:type="spellEnd"/>
    </w:p>
    <w:p w:rsidR="00D42797" w:rsidRDefault="00D42797" w:rsidP="00321D46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 financiranja in sofinanciranja programov športa Občine Šenčur za leto 2012</w:t>
      </w:r>
    </w:p>
    <w:p w:rsidR="00D42797" w:rsidRDefault="00D42797" w:rsidP="00321D46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Dodelitev pomoči za ohranjanje in razvoj kmetijstva, gospodarstva in podeželja v Občini Šenčur za leto 2012</w:t>
      </w:r>
    </w:p>
    <w:p w:rsidR="00D42797" w:rsidRDefault="005D2F82" w:rsidP="00321D46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Zaključnega računa pror</w:t>
      </w:r>
      <w:r w:rsidR="00296DFF">
        <w:rPr>
          <w:rFonts w:ascii="Times New Roman" w:hAnsi="Times New Roman" w:cs="Times New Roman"/>
          <w:sz w:val="24"/>
          <w:szCs w:val="24"/>
        </w:rPr>
        <w:t>ačuna Občine Šenčur za leto 2013</w:t>
      </w:r>
    </w:p>
    <w:p w:rsidR="005D2F82" w:rsidRDefault="005D2F82" w:rsidP="00321D46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Stroškov dela občinske uprave za leto 2013</w:t>
      </w:r>
    </w:p>
    <w:p w:rsidR="005D2F82" w:rsidRDefault="005D2F82" w:rsidP="00321D46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Izredni nadzor porabe proračunskih sredstev Občine Šenčur za PGD Visoko – Milje v obdobju od leta 2010 do 2013</w:t>
      </w:r>
    </w:p>
    <w:p w:rsidR="005D2F82" w:rsidRDefault="005D2F82" w:rsidP="00321D46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Izredni </w:t>
      </w:r>
      <w:r w:rsidR="00E1228F">
        <w:rPr>
          <w:rFonts w:ascii="Times New Roman" w:hAnsi="Times New Roman" w:cs="Times New Roman"/>
          <w:sz w:val="24"/>
          <w:szCs w:val="24"/>
        </w:rPr>
        <w:t>nadzor izvajanja Odloka o ob</w:t>
      </w:r>
      <w:r>
        <w:rPr>
          <w:rFonts w:ascii="Times New Roman" w:hAnsi="Times New Roman" w:cs="Times New Roman"/>
          <w:sz w:val="24"/>
          <w:szCs w:val="24"/>
        </w:rPr>
        <w:t>činskem lokacijskem načrtu za območje Šenčur- jug OPC P2B in Odloka o programu opremljanja zemljišč za gradnjo na območju občinskega lokacijskega načrta Šenčur</w:t>
      </w:r>
      <w:r w:rsidR="00DC1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jug OPC P2B</w:t>
      </w:r>
    </w:p>
    <w:p w:rsidR="00ED62EA" w:rsidRDefault="00ED62EA" w:rsidP="00ED62EA">
      <w:pPr>
        <w:pStyle w:val="Brezrazmikov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0E17" w:rsidRDefault="00DF0E17" w:rsidP="00ED62EA">
      <w:pPr>
        <w:pStyle w:val="Brezrazmikov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Vsi načrtovani nadzori v letnih programih so bili izvedeni. Za vsak posamezni nadzor so bili podani predlogi in priporočila.</w:t>
      </w:r>
    </w:p>
    <w:p w:rsidR="00DF0E17" w:rsidRDefault="00DF0E17" w:rsidP="00ED62EA">
      <w:pPr>
        <w:pStyle w:val="Brezrazmikov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0E17" w:rsidRDefault="00DF0E17" w:rsidP="00ED62EA">
      <w:pPr>
        <w:pStyle w:val="Brezrazmikov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svojem delu NO ni vključeval posebnih zunanjih izvedence</w:t>
      </w:r>
      <w:r w:rsidR="004B4D3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D32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izvedbo nadzorov.</w:t>
      </w:r>
    </w:p>
    <w:p w:rsidR="00DF0E17" w:rsidRDefault="00DF0E17" w:rsidP="00DF0E1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DF0E17" w:rsidRDefault="00DF0E17" w:rsidP="00DF0E1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DF0E17" w:rsidRPr="00DF0E17" w:rsidRDefault="00DF0E17" w:rsidP="00DF0E17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E17">
        <w:rPr>
          <w:rFonts w:ascii="Times New Roman" w:hAnsi="Times New Roman" w:cs="Times New Roman"/>
          <w:sz w:val="24"/>
          <w:szCs w:val="24"/>
        </w:rPr>
        <w:t>SPREMLJANJE POSLOVANJA UPORABNIKOV PRORAČUNSKIH SREDSTEV OBČINE</w:t>
      </w:r>
    </w:p>
    <w:p w:rsidR="00DF0E17" w:rsidRDefault="00DF0E17" w:rsidP="00DF0E1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DF0E17" w:rsidRDefault="00DF0E17" w:rsidP="00DF0E1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Poleg izvajanja načrtovanih nadzorov je NO spremljal tudi tekoče poslovanje občine in drugih porabnikov proračunskih sredstev občine. V okviru teh nalog je NO obravnaval predvsem določena pomembnejša gradiva, ki so bila posredovana v obravnavo in sprejem občinskemu svetu, predvsem z vidika izvajanja ključnih nalog občine, finančnega poslovanja občine in poslovanja drugih uporabnikov proračunskih sredstev občine.</w:t>
      </w:r>
    </w:p>
    <w:p w:rsidR="00DF0E17" w:rsidRDefault="00DF0E17" w:rsidP="00DF0E1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obravnavi navedenih gradiv je NO upošteval ločitev funkcij odločanja, izvajanja in nadzora. </w:t>
      </w:r>
    </w:p>
    <w:p w:rsidR="00DF0E17" w:rsidRDefault="00DF0E17" w:rsidP="00DF0E1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4B4D32" w:rsidRDefault="004B4D32" w:rsidP="00DF0E1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4B4D32" w:rsidRDefault="004B4D32" w:rsidP="00DF0E1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DF0E17" w:rsidRDefault="00DF0E17" w:rsidP="00DF0E17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USPOSABLJANJE</w:t>
      </w:r>
    </w:p>
    <w:p w:rsidR="00DF0E17" w:rsidRDefault="00DF0E17" w:rsidP="00DF0E1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4404BF" w:rsidRDefault="00DF0E17" w:rsidP="00DF0E1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Člani NO so v tem mandatnem obdobju namenili tudi ustrezno pozornost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strokovnemu usposabljanju. Udeležili so se posveta »Funkcije in delovanje NO</w:t>
      </w:r>
      <w:r w:rsidR="004404BF">
        <w:rPr>
          <w:rFonts w:ascii="Times New Roman" w:hAnsi="Times New Roman" w:cs="Times New Roman"/>
          <w:sz w:val="24"/>
          <w:szCs w:val="24"/>
        </w:rPr>
        <w:t xml:space="preserve">«, ki ga je organiziralo Združenje občin Slovenije. Poleg tega pa so se člani tudi udeležili seminarjev, ki jih je organiziral Inštitut za javno </w:t>
      </w:r>
      <w:r w:rsidR="00B315E2">
        <w:rPr>
          <w:rFonts w:ascii="Times New Roman" w:hAnsi="Times New Roman" w:cs="Times New Roman"/>
          <w:sz w:val="24"/>
          <w:szCs w:val="24"/>
        </w:rPr>
        <w:t xml:space="preserve">finančno </w:t>
      </w:r>
      <w:r w:rsidR="004404BF">
        <w:rPr>
          <w:rFonts w:ascii="Times New Roman" w:hAnsi="Times New Roman" w:cs="Times New Roman"/>
          <w:sz w:val="24"/>
          <w:szCs w:val="24"/>
        </w:rPr>
        <w:t>pravo na katerih so bile obravnavane naslednje teme:</w:t>
      </w:r>
    </w:p>
    <w:p w:rsidR="004404BF" w:rsidRDefault="004404BF" w:rsidP="004404BF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Splošno, vloga in poročanje NO</w:t>
      </w:r>
    </w:p>
    <w:p w:rsidR="004404BF" w:rsidRDefault="004404BF" w:rsidP="004404BF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Zaključni račun in transferji</w:t>
      </w:r>
    </w:p>
    <w:p w:rsidR="004404BF" w:rsidRDefault="004404BF" w:rsidP="004404BF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Premoženje, investicije in zadolževanje</w:t>
      </w:r>
    </w:p>
    <w:p w:rsidR="00826928" w:rsidRDefault="004404BF" w:rsidP="004404BF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Plače in javna naročila</w:t>
      </w:r>
    </w:p>
    <w:p w:rsidR="00943029" w:rsidRDefault="00943029" w:rsidP="0082692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43029" w:rsidRDefault="00943029" w:rsidP="0082692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43029" w:rsidRDefault="00943029" w:rsidP="00943029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ZAKLJUČEK</w:t>
      </w:r>
    </w:p>
    <w:p w:rsidR="00DF0E17" w:rsidRDefault="00DF0E17" w:rsidP="0094302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4CD" w:rsidRPr="008B56B3" w:rsidRDefault="008B56B3" w:rsidP="00CE127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8B56B3">
        <w:rPr>
          <w:rFonts w:ascii="Times New Roman" w:hAnsi="Times New Roman" w:cs="Times New Roman"/>
          <w:sz w:val="24"/>
          <w:szCs w:val="24"/>
        </w:rPr>
        <w:t>Odnos nadzorovanih oseb do NO</w:t>
      </w:r>
      <w:r>
        <w:rPr>
          <w:rFonts w:ascii="Times New Roman" w:hAnsi="Times New Roman" w:cs="Times New Roman"/>
          <w:sz w:val="24"/>
          <w:szCs w:val="24"/>
        </w:rPr>
        <w:t xml:space="preserve"> je bil v tem mandatnem obdobju korekten ob zavedanju, da je NO eden od organov občine, ki s svojim delovanjem opozarja na </w:t>
      </w:r>
      <w:r w:rsidR="00B315E2">
        <w:rPr>
          <w:rFonts w:ascii="Times New Roman" w:hAnsi="Times New Roman" w:cs="Times New Roman"/>
          <w:sz w:val="24"/>
          <w:szCs w:val="24"/>
        </w:rPr>
        <w:t xml:space="preserve">nepravilnosti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B31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5E2">
        <w:rPr>
          <w:rFonts w:ascii="Times New Roman" w:hAnsi="Times New Roman" w:cs="Times New Roman"/>
          <w:sz w:val="24"/>
          <w:szCs w:val="24"/>
        </w:rPr>
        <w:t xml:space="preserve">pomanjkljivosti poslovanja </w:t>
      </w:r>
      <w:r>
        <w:rPr>
          <w:rFonts w:ascii="Times New Roman" w:hAnsi="Times New Roman" w:cs="Times New Roman"/>
          <w:sz w:val="24"/>
          <w:szCs w:val="24"/>
        </w:rPr>
        <w:t>z namenom gospodarnejšega ravnanja posameznih proračunskih porabnikov.</w:t>
      </w:r>
    </w:p>
    <w:p w:rsidR="00F624CD" w:rsidRDefault="00F624CD" w:rsidP="00CE127C">
      <w:pPr>
        <w:pStyle w:val="Brezrazmikov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4CD" w:rsidRPr="00530F76" w:rsidRDefault="00530F76" w:rsidP="00CE127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530F76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je deloval v skladu s sprejetimi  letnimi programi dela in ni ugotovil večjih nepravilnosti pri poslovanju nadzorovanih oseb. Ugotovil pa je nekatere pomanjkljivosti pri poslovanju in podal predloge in priporočila.</w:t>
      </w:r>
    </w:p>
    <w:p w:rsidR="00F624CD" w:rsidRDefault="00F624CD" w:rsidP="00CE127C">
      <w:pPr>
        <w:pStyle w:val="Brezrazmikov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4CD" w:rsidRDefault="00F624CD" w:rsidP="00CE127C">
      <w:pPr>
        <w:pStyle w:val="Brezrazmikov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05C" w:rsidRDefault="00CA305C" w:rsidP="00CE127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CA305C" w:rsidRDefault="00CA305C" w:rsidP="00CE127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CA305C" w:rsidRPr="00C22624" w:rsidRDefault="00CA305C" w:rsidP="00CE127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CA305C" w:rsidRPr="006E30C4" w:rsidRDefault="00CA305C" w:rsidP="00CE127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6E30C4">
        <w:rPr>
          <w:rFonts w:ascii="Times New Roman" w:hAnsi="Times New Roman" w:cs="Times New Roman"/>
          <w:sz w:val="24"/>
          <w:szCs w:val="24"/>
        </w:rPr>
        <w:t>Predsednik Nadzornega odbora</w:t>
      </w:r>
    </w:p>
    <w:p w:rsidR="00CA305C" w:rsidRPr="006E30C4" w:rsidRDefault="00CA305C" w:rsidP="00CE127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6E30C4">
        <w:rPr>
          <w:rFonts w:ascii="Times New Roman" w:hAnsi="Times New Roman" w:cs="Times New Roman"/>
          <w:sz w:val="24"/>
          <w:szCs w:val="24"/>
        </w:rPr>
        <w:t>Ciril Sitar</w:t>
      </w:r>
    </w:p>
    <w:p w:rsidR="00530F76" w:rsidRDefault="00530F76" w:rsidP="00CE12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F76" w:rsidRDefault="00530F76" w:rsidP="00CE12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F76" w:rsidRDefault="00530F76" w:rsidP="00CE127C">
      <w:pPr>
        <w:jc w:val="both"/>
        <w:rPr>
          <w:rFonts w:ascii="Times New Roman" w:hAnsi="Times New Roman" w:cs="Times New Roman"/>
          <w:sz w:val="24"/>
          <w:szCs w:val="24"/>
        </w:rPr>
      </w:pPr>
      <w:r w:rsidRPr="00530F76">
        <w:rPr>
          <w:rFonts w:ascii="Times New Roman" w:hAnsi="Times New Roman" w:cs="Times New Roman"/>
          <w:sz w:val="24"/>
          <w:szCs w:val="24"/>
        </w:rPr>
        <w:t>Vročiti:</w:t>
      </w:r>
    </w:p>
    <w:p w:rsidR="00530F76" w:rsidRDefault="00530F76" w:rsidP="00530F76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Župan Miro </w:t>
      </w:r>
      <w:proofErr w:type="spellStart"/>
      <w:r>
        <w:rPr>
          <w:rFonts w:ascii="Times New Roman" w:hAnsi="Times New Roman" w:cs="Times New Roman"/>
          <w:sz w:val="24"/>
          <w:szCs w:val="24"/>
        </w:rPr>
        <w:t>Kozelj</w:t>
      </w:r>
      <w:proofErr w:type="spellEnd"/>
    </w:p>
    <w:p w:rsidR="00530F76" w:rsidRDefault="00530F76" w:rsidP="00530F76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Občinski svet Občine Šenčur</w:t>
      </w:r>
    </w:p>
    <w:p w:rsidR="00530F76" w:rsidRPr="00530F76" w:rsidRDefault="00530F76" w:rsidP="00530F76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</w:t>
      </w:r>
    </w:p>
    <w:p w:rsidR="00530F76" w:rsidRDefault="00530F76" w:rsidP="00530F76">
      <w:pPr>
        <w:jc w:val="both"/>
      </w:pPr>
    </w:p>
    <w:p w:rsidR="00530F76" w:rsidRDefault="00530F76" w:rsidP="00CE127C">
      <w:pPr>
        <w:jc w:val="both"/>
      </w:pPr>
    </w:p>
    <w:p w:rsidR="00530F76" w:rsidRDefault="00530F76" w:rsidP="00530F76">
      <w:pPr>
        <w:jc w:val="both"/>
      </w:pPr>
    </w:p>
    <w:sectPr w:rsidR="00530F76" w:rsidSect="00A93AC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653" w:rsidRDefault="00BB4653" w:rsidP="00082662">
      <w:pPr>
        <w:spacing w:after="0" w:line="240" w:lineRule="auto"/>
      </w:pPr>
      <w:r>
        <w:separator/>
      </w:r>
    </w:p>
  </w:endnote>
  <w:endnote w:type="continuationSeparator" w:id="0">
    <w:p w:rsidR="00BB4653" w:rsidRDefault="00BB4653" w:rsidP="00082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6823560"/>
      <w:docPartObj>
        <w:docPartGallery w:val="Page Numbers (Bottom of Page)"/>
        <w:docPartUnique/>
      </w:docPartObj>
    </w:sdtPr>
    <w:sdtContent>
      <w:p w:rsidR="00082662" w:rsidRDefault="00D77FB4">
        <w:pPr>
          <w:pStyle w:val="Noga"/>
          <w:jc w:val="center"/>
        </w:pPr>
        <w:r>
          <w:fldChar w:fldCharType="begin"/>
        </w:r>
        <w:r w:rsidR="00082662">
          <w:instrText>PAGE   \* MERGEFORMAT</w:instrText>
        </w:r>
        <w:r>
          <w:fldChar w:fldCharType="separate"/>
        </w:r>
        <w:r w:rsidR="004B4D32">
          <w:rPr>
            <w:noProof/>
          </w:rPr>
          <w:t>1</w:t>
        </w:r>
        <w:r>
          <w:fldChar w:fldCharType="end"/>
        </w:r>
      </w:p>
    </w:sdtContent>
  </w:sdt>
  <w:p w:rsidR="00082662" w:rsidRDefault="0008266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653" w:rsidRDefault="00BB4653" w:rsidP="00082662">
      <w:pPr>
        <w:spacing w:after="0" w:line="240" w:lineRule="auto"/>
      </w:pPr>
      <w:r>
        <w:separator/>
      </w:r>
    </w:p>
  </w:footnote>
  <w:footnote w:type="continuationSeparator" w:id="0">
    <w:p w:rsidR="00BB4653" w:rsidRDefault="00BB4653" w:rsidP="00082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299"/>
    <w:multiLevelType w:val="hybridMultilevel"/>
    <w:tmpl w:val="016AAC1C"/>
    <w:lvl w:ilvl="0" w:tplc="1A66189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B2192"/>
    <w:multiLevelType w:val="multilevel"/>
    <w:tmpl w:val="3248636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AA41828"/>
    <w:multiLevelType w:val="hybridMultilevel"/>
    <w:tmpl w:val="F5881E04"/>
    <w:lvl w:ilvl="0" w:tplc="0F243F2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F5969"/>
    <w:multiLevelType w:val="hybridMultilevel"/>
    <w:tmpl w:val="FF4469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C5B"/>
    <w:rsid w:val="00047CA2"/>
    <w:rsid w:val="00061D92"/>
    <w:rsid w:val="00082662"/>
    <w:rsid w:val="000826A6"/>
    <w:rsid w:val="000A7CA5"/>
    <w:rsid w:val="0019421A"/>
    <w:rsid w:val="00284BFB"/>
    <w:rsid w:val="0029064D"/>
    <w:rsid w:val="00296DFF"/>
    <w:rsid w:val="002D1082"/>
    <w:rsid w:val="00321D46"/>
    <w:rsid w:val="003E3AB6"/>
    <w:rsid w:val="004404BF"/>
    <w:rsid w:val="004B4D32"/>
    <w:rsid w:val="004D00B6"/>
    <w:rsid w:val="00530F76"/>
    <w:rsid w:val="00594A7E"/>
    <w:rsid w:val="005D2F82"/>
    <w:rsid w:val="00617977"/>
    <w:rsid w:val="00683581"/>
    <w:rsid w:val="006A3E28"/>
    <w:rsid w:val="006F3D6C"/>
    <w:rsid w:val="006F6507"/>
    <w:rsid w:val="00743837"/>
    <w:rsid w:val="00743DA3"/>
    <w:rsid w:val="0075454A"/>
    <w:rsid w:val="0075703D"/>
    <w:rsid w:val="007762F3"/>
    <w:rsid w:val="00781475"/>
    <w:rsid w:val="00826928"/>
    <w:rsid w:val="008560A3"/>
    <w:rsid w:val="008A7565"/>
    <w:rsid w:val="008B56B3"/>
    <w:rsid w:val="008B7F95"/>
    <w:rsid w:val="009004D0"/>
    <w:rsid w:val="00920605"/>
    <w:rsid w:val="00932CD3"/>
    <w:rsid w:val="00943029"/>
    <w:rsid w:val="00947B71"/>
    <w:rsid w:val="0098131D"/>
    <w:rsid w:val="00994C5B"/>
    <w:rsid w:val="009B638B"/>
    <w:rsid w:val="009E7F6D"/>
    <w:rsid w:val="009F3C7B"/>
    <w:rsid w:val="00A14263"/>
    <w:rsid w:val="00A34C75"/>
    <w:rsid w:val="00A6435B"/>
    <w:rsid w:val="00A850BA"/>
    <w:rsid w:val="00A93ACA"/>
    <w:rsid w:val="00A9553C"/>
    <w:rsid w:val="00AD3179"/>
    <w:rsid w:val="00AE50B1"/>
    <w:rsid w:val="00B00395"/>
    <w:rsid w:val="00B315E2"/>
    <w:rsid w:val="00BB4653"/>
    <w:rsid w:val="00BF1DF4"/>
    <w:rsid w:val="00C21735"/>
    <w:rsid w:val="00CA305C"/>
    <w:rsid w:val="00CA4C4E"/>
    <w:rsid w:val="00CB4C5B"/>
    <w:rsid w:val="00CE127C"/>
    <w:rsid w:val="00D27ECF"/>
    <w:rsid w:val="00D42797"/>
    <w:rsid w:val="00D77FB4"/>
    <w:rsid w:val="00DA400D"/>
    <w:rsid w:val="00DC1FAC"/>
    <w:rsid w:val="00DF0E17"/>
    <w:rsid w:val="00E1228F"/>
    <w:rsid w:val="00ED62EA"/>
    <w:rsid w:val="00F13B39"/>
    <w:rsid w:val="00F624CD"/>
    <w:rsid w:val="00F80505"/>
    <w:rsid w:val="00FC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94C5B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94C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994C5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rsid w:val="00994C5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4C5B"/>
    <w:rPr>
      <w:rFonts w:ascii="Tahoma" w:eastAsiaTheme="minorEastAsia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994C5B"/>
    <w:pPr>
      <w:spacing w:after="0" w:line="240" w:lineRule="auto"/>
    </w:pPr>
  </w:style>
  <w:style w:type="paragraph" w:styleId="Noga">
    <w:name w:val="footer"/>
    <w:basedOn w:val="Navaden"/>
    <w:link w:val="NogaZnak"/>
    <w:uiPriority w:val="99"/>
    <w:unhideWhenUsed/>
    <w:rsid w:val="00082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2662"/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qFormat/>
    <w:rsid w:val="00530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94C5B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94C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994C5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rsid w:val="00994C5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4C5B"/>
    <w:rPr>
      <w:rFonts w:ascii="Tahoma" w:eastAsiaTheme="minorEastAsia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994C5B"/>
    <w:pPr>
      <w:spacing w:after="0" w:line="240" w:lineRule="auto"/>
    </w:pPr>
  </w:style>
  <w:style w:type="paragraph" w:styleId="Noga">
    <w:name w:val="footer"/>
    <w:basedOn w:val="Navaden"/>
    <w:link w:val="NogaZnak"/>
    <w:uiPriority w:val="99"/>
    <w:unhideWhenUsed/>
    <w:rsid w:val="00082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2662"/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qFormat/>
    <w:rsid w:val="00530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treznik\podatki\Obcina%20SENCUR\OB&#268;INSKI%20SVET\ODBORI%20KOMISIJE\NADZORNI%20ODBOR\PORO&#268;ILA%20NO\www.sencur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Ciril SITAR</dc:creator>
  <cp:lastModifiedBy>simona</cp:lastModifiedBy>
  <cp:revision>30</cp:revision>
  <dcterms:created xsi:type="dcterms:W3CDTF">2014-09-12T17:37:00Z</dcterms:created>
  <dcterms:modified xsi:type="dcterms:W3CDTF">2014-09-18T06:45:00Z</dcterms:modified>
</cp:coreProperties>
</file>