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69" w:rsidRDefault="00EB1969" w:rsidP="00DB16C2">
      <w:pPr>
        <w:autoSpaceDE w:val="0"/>
        <w:autoSpaceDN w:val="0"/>
        <w:adjustRightInd w:val="0"/>
        <w:jc w:val="both"/>
        <w:rPr>
          <w:rFonts w:ascii="Tahoma" w:hAnsi="Tahoma" w:cs="Tahoma"/>
          <w:b/>
          <w:lang w:eastAsia="en-US"/>
        </w:rPr>
      </w:pPr>
      <w:bookmarkStart w:id="0" w:name="_GoBack"/>
      <w:bookmarkEnd w:id="0"/>
    </w:p>
    <w:tbl>
      <w:tblPr>
        <w:tblW w:w="0" w:type="auto"/>
        <w:tblLayout w:type="fixed"/>
        <w:tblCellMar>
          <w:left w:w="70" w:type="dxa"/>
          <w:right w:w="70" w:type="dxa"/>
        </w:tblCellMar>
        <w:tblLook w:val="0000" w:firstRow="0" w:lastRow="0" w:firstColumn="0" w:lastColumn="0" w:noHBand="0" w:noVBand="0"/>
      </w:tblPr>
      <w:tblGrid>
        <w:gridCol w:w="1913"/>
        <w:gridCol w:w="7299"/>
      </w:tblGrid>
      <w:tr w:rsidR="00EB1969" w:rsidRPr="00EB1969" w:rsidTr="002431B1">
        <w:tc>
          <w:tcPr>
            <w:tcW w:w="1913" w:type="dxa"/>
          </w:tcPr>
          <w:p w:rsidR="00EB1969" w:rsidRPr="00EB1969" w:rsidRDefault="00EB1969" w:rsidP="00EB1969">
            <w:pPr>
              <w:tabs>
                <w:tab w:val="center" w:pos="4536"/>
                <w:tab w:val="right" w:pos="9072"/>
              </w:tabs>
              <w:rPr>
                <w:rFonts w:ascii="Tahoma" w:hAnsi="Tahoma" w:cs="Tahoma"/>
              </w:rPr>
            </w:pPr>
            <w:r>
              <w:rPr>
                <w:rFonts w:ascii="Tahoma" w:hAnsi="Tahoma" w:cs="Tahoma"/>
                <w:noProof/>
              </w:rPr>
              <w:drawing>
                <wp:inline distT="0" distB="0" distL="0" distR="0">
                  <wp:extent cx="914400" cy="1026795"/>
                  <wp:effectExtent l="0" t="0" r="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026795"/>
                          </a:xfrm>
                          <a:prstGeom prst="rect">
                            <a:avLst/>
                          </a:prstGeom>
                          <a:noFill/>
                          <a:ln>
                            <a:noFill/>
                          </a:ln>
                        </pic:spPr>
                      </pic:pic>
                    </a:graphicData>
                  </a:graphic>
                </wp:inline>
              </w:drawing>
            </w:r>
          </w:p>
        </w:tc>
        <w:tc>
          <w:tcPr>
            <w:tcW w:w="7299" w:type="dxa"/>
          </w:tcPr>
          <w:p w:rsidR="00EB1969" w:rsidRPr="00EB1969" w:rsidRDefault="00EB1969" w:rsidP="00EB1969">
            <w:pPr>
              <w:tabs>
                <w:tab w:val="center" w:pos="4536"/>
                <w:tab w:val="right" w:pos="9072"/>
              </w:tabs>
              <w:rPr>
                <w:rFonts w:ascii="Tahoma" w:hAnsi="Tahoma" w:cs="Tahoma"/>
              </w:rPr>
            </w:pPr>
            <w:r w:rsidRPr="00EB1969">
              <w:rPr>
                <w:rFonts w:ascii="Tahoma" w:hAnsi="Tahoma" w:cs="Tahoma"/>
              </w:rPr>
              <w:t xml:space="preserve">OBČINA ŠENČUR                                      </w:t>
            </w:r>
          </w:p>
          <w:p w:rsidR="00EB1969" w:rsidRPr="00EB1969" w:rsidRDefault="00EB1969" w:rsidP="00EB1969">
            <w:pPr>
              <w:tabs>
                <w:tab w:val="center" w:pos="4536"/>
                <w:tab w:val="right" w:pos="9072"/>
              </w:tabs>
              <w:rPr>
                <w:rFonts w:ascii="Tahoma" w:hAnsi="Tahoma" w:cs="Tahoma"/>
              </w:rPr>
            </w:pPr>
            <w:r w:rsidRPr="00EB1969">
              <w:rPr>
                <w:rFonts w:ascii="Tahoma" w:hAnsi="Tahoma" w:cs="Tahoma"/>
              </w:rPr>
              <w:t>Kranjska cesta 11</w:t>
            </w:r>
          </w:p>
          <w:p w:rsidR="00EB1969" w:rsidRPr="00EB1969" w:rsidRDefault="00EB1969" w:rsidP="00EB1969">
            <w:pPr>
              <w:tabs>
                <w:tab w:val="center" w:pos="4536"/>
                <w:tab w:val="right" w:pos="9072"/>
              </w:tabs>
              <w:rPr>
                <w:rFonts w:ascii="Tahoma" w:hAnsi="Tahoma" w:cs="Tahoma"/>
              </w:rPr>
            </w:pPr>
            <w:r w:rsidRPr="00EB1969">
              <w:rPr>
                <w:rFonts w:ascii="Tahoma" w:hAnsi="Tahoma" w:cs="Tahoma"/>
              </w:rPr>
              <w:t>4208 Šenčur</w:t>
            </w:r>
          </w:p>
          <w:p w:rsidR="00EB1969" w:rsidRPr="00EB1969" w:rsidRDefault="00EB1969" w:rsidP="00EB1969">
            <w:pPr>
              <w:tabs>
                <w:tab w:val="center" w:pos="4536"/>
                <w:tab w:val="right" w:pos="9072"/>
              </w:tabs>
              <w:rPr>
                <w:rFonts w:ascii="Tahoma" w:hAnsi="Tahoma" w:cs="Tahoma"/>
              </w:rPr>
            </w:pPr>
            <w:r w:rsidRPr="00EB1969">
              <w:rPr>
                <w:rFonts w:ascii="Tahoma" w:hAnsi="Tahoma" w:cs="Tahoma"/>
              </w:rPr>
              <w:t>tel. 04 – 2519-100  fax. 2519-111</w:t>
            </w:r>
          </w:p>
          <w:p w:rsidR="00EB1969" w:rsidRPr="00EB1969" w:rsidRDefault="00EB1969" w:rsidP="00EB1969">
            <w:pPr>
              <w:tabs>
                <w:tab w:val="center" w:pos="4536"/>
                <w:tab w:val="right" w:pos="9072"/>
              </w:tabs>
              <w:rPr>
                <w:rFonts w:ascii="Tahoma" w:hAnsi="Tahoma" w:cs="Tahoma"/>
              </w:rPr>
            </w:pPr>
            <w:r w:rsidRPr="00EB1969">
              <w:rPr>
                <w:rFonts w:ascii="Tahoma" w:hAnsi="Tahoma" w:cs="Tahoma"/>
              </w:rPr>
              <w:t>e-mail:obcina@sencur.si</w:t>
            </w:r>
          </w:p>
          <w:p w:rsidR="00EB1969" w:rsidRPr="00EB1969" w:rsidRDefault="00EB1969" w:rsidP="00EB1969">
            <w:pPr>
              <w:tabs>
                <w:tab w:val="center" w:pos="4536"/>
                <w:tab w:val="right" w:pos="9072"/>
              </w:tabs>
              <w:rPr>
                <w:rFonts w:ascii="Tahoma" w:hAnsi="Tahoma" w:cs="Tahoma"/>
              </w:rPr>
            </w:pPr>
            <w:r w:rsidRPr="00EB1969">
              <w:rPr>
                <w:rFonts w:ascii="Tahoma" w:hAnsi="Tahoma" w:cs="Tahoma"/>
              </w:rPr>
              <w:t>url:www.sencur.si</w:t>
            </w:r>
          </w:p>
        </w:tc>
      </w:tr>
    </w:tbl>
    <w:p w:rsidR="00EB1969" w:rsidRPr="00EB1969" w:rsidRDefault="00EB1969" w:rsidP="00EB1969">
      <w:pPr>
        <w:jc w:val="both"/>
        <w:rPr>
          <w:rFonts w:ascii="Tahoma" w:hAnsi="Tahoma" w:cs="Tahoma"/>
        </w:rPr>
      </w:pPr>
      <w:r w:rsidRPr="00EB1969">
        <w:rPr>
          <w:rFonts w:ascii="Tahoma" w:hAnsi="Tahoma" w:cs="Tahoma"/>
        </w:rPr>
        <w:t>ŽUPAN</w:t>
      </w:r>
    </w:p>
    <w:p w:rsidR="00EB1969" w:rsidRPr="00EB1969" w:rsidRDefault="00EB1969" w:rsidP="00EB1969">
      <w:pPr>
        <w:jc w:val="both"/>
        <w:rPr>
          <w:rFonts w:ascii="Tahoma" w:hAnsi="Tahoma" w:cs="Tahoma"/>
        </w:rPr>
      </w:pPr>
    </w:p>
    <w:p w:rsidR="00EB1969" w:rsidRPr="00EB1969" w:rsidRDefault="00EB1969" w:rsidP="00EB1969">
      <w:pPr>
        <w:jc w:val="both"/>
        <w:rPr>
          <w:rFonts w:ascii="Tahoma" w:hAnsi="Tahoma" w:cs="Tahoma"/>
        </w:rPr>
      </w:pPr>
      <w:r w:rsidRPr="00EB1969">
        <w:rPr>
          <w:rFonts w:ascii="Tahoma" w:hAnsi="Tahoma" w:cs="Tahoma"/>
        </w:rPr>
        <w:t>Datum:  1</w:t>
      </w:r>
      <w:r>
        <w:rPr>
          <w:rFonts w:ascii="Tahoma" w:hAnsi="Tahoma" w:cs="Tahoma"/>
        </w:rPr>
        <w:t>7</w:t>
      </w:r>
      <w:r w:rsidRPr="00EB1969">
        <w:rPr>
          <w:rFonts w:ascii="Tahoma" w:hAnsi="Tahoma" w:cs="Tahoma"/>
        </w:rPr>
        <w:t>.9. 2014</w:t>
      </w:r>
    </w:p>
    <w:p w:rsidR="00EB1969" w:rsidRPr="00EB1969" w:rsidRDefault="00EB1969" w:rsidP="00EB1969">
      <w:pPr>
        <w:jc w:val="both"/>
        <w:rPr>
          <w:rFonts w:ascii="Tahoma" w:hAnsi="Tahoma" w:cs="Tahoma"/>
        </w:rPr>
      </w:pPr>
      <w:r w:rsidRPr="00EB1969">
        <w:rPr>
          <w:rFonts w:ascii="Tahoma" w:hAnsi="Tahoma" w:cs="Tahoma"/>
        </w:rPr>
        <w:t>Štev.:    062-05-/14-28</w:t>
      </w:r>
    </w:p>
    <w:p w:rsidR="00EB1969" w:rsidRPr="00EB1969" w:rsidRDefault="00EB1969" w:rsidP="00EB1969">
      <w:pPr>
        <w:keepNext/>
        <w:jc w:val="both"/>
        <w:outlineLvl w:val="1"/>
        <w:rPr>
          <w:rFonts w:ascii="Tahoma" w:hAnsi="Tahoma" w:cs="Tahoma"/>
        </w:rPr>
      </w:pPr>
    </w:p>
    <w:p w:rsidR="00EB1969" w:rsidRPr="00EB1969" w:rsidRDefault="00EB1969" w:rsidP="00EB1969">
      <w:pPr>
        <w:keepNext/>
        <w:jc w:val="both"/>
        <w:outlineLvl w:val="1"/>
        <w:rPr>
          <w:rFonts w:ascii="Tahoma" w:hAnsi="Tahoma" w:cs="Tahoma"/>
          <w:b/>
        </w:rPr>
      </w:pPr>
    </w:p>
    <w:p w:rsidR="00EB1969" w:rsidRPr="00EB1969" w:rsidRDefault="00EB1969" w:rsidP="00EB1969">
      <w:pPr>
        <w:keepNext/>
        <w:jc w:val="both"/>
        <w:outlineLvl w:val="1"/>
        <w:rPr>
          <w:rFonts w:ascii="Tahoma" w:hAnsi="Tahoma" w:cs="Tahoma"/>
          <w:b/>
        </w:rPr>
      </w:pPr>
      <w:r w:rsidRPr="00EB1969">
        <w:rPr>
          <w:rFonts w:ascii="Tahoma" w:hAnsi="Tahoma" w:cs="Tahoma"/>
          <w:b/>
        </w:rPr>
        <w:t>ČLANOM OBČINSKEGA SVETA OBČINE ŠENČUR</w:t>
      </w:r>
    </w:p>
    <w:p w:rsidR="00EB1969" w:rsidRPr="00EB1969" w:rsidRDefault="00EB1969" w:rsidP="00EB1969">
      <w:pPr>
        <w:ind w:right="-2"/>
        <w:jc w:val="both"/>
        <w:rPr>
          <w:rFonts w:ascii="Tahoma" w:hAnsi="Tahoma" w:cs="Tahoma"/>
          <w:b/>
        </w:rPr>
      </w:pPr>
    </w:p>
    <w:p w:rsidR="00EB1969" w:rsidRPr="00EB1969" w:rsidRDefault="00EB1969" w:rsidP="00EB1969">
      <w:pPr>
        <w:jc w:val="both"/>
        <w:rPr>
          <w:rFonts w:ascii="Tahoma" w:hAnsi="Tahoma" w:cs="Tahoma"/>
          <w:b/>
        </w:rPr>
      </w:pPr>
    </w:p>
    <w:p w:rsidR="00DB16C2" w:rsidRPr="00294141" w:rsidRDefault="00EB1969" w:rsidP="00EB1969">
      <w:pPr>
        <w:jc w:val="both"/>
        <w:rPr>
          <w:rFonts w:ascii="Tahoma" w:hAnsi="Tahoma" w:cs="Tahoma"/>
          <w:b/>
          <w:lang w:eastAsia="en-US"/>
        </w:rPr>
      </w:pPr>
      <w:r w:rsidRPr="00EB1969">
        <w:rPr>
          <w:rFonts w:ascii="Tahoma" w:hAnsi="Tahoma" w:cs="Tahoma"/>
          <w:b/>
        </w:rPr>
        <w:t xml:space="preserve">Zadeva: </w:t>
      </w:r>
      <w:r>
        <w:rPr>
          <w:rFonts w:ascii="Tahoma" w:hAnsi="Tahoma" w:cs="Tahoma"/>
          <w:b/>
          <w:lang w:eastAsia="en-US"/>
        </w:rPr>
        <w:t>Predlog tehničnega popravka</w:t>
      </w:r>
      <w:r w:rsidRPr="00EB1969">
        <w:rPr>
          <w:rFonts w:ascii="Tahoma" w:hAnsi="Tahoma" w:cs="Tahoma"/>
        </w:rPr>
        <w:t xml:space="preserve"> </w:t>
      </w:r>
    </w:p>
    <w:p w:rsidR="00DB16C2" w:rsidRDefault="00DB16C2" w:rsidP="00DB16C2">
      <w:pPr>
        <w:autoSpaceDE w:val="0"/>
        <w:autoSpaceDN w:val="0"/>
        <w:adjustRightInd w:val="0"/>
        <w:jc w:val="both"/>
        <w:rPr>
          <w:rFonts w:ascii="Tahoma" w:hAnsi="Tahoma" w:cs="Tahoma"/>
          <w:lang w:eastAsia="en-US"/>
        </w:rPr>
      </w:pPr>
    </w:p>
    <w:p w:rsidR="00DB16C2" w:rsidRDefault="00DB16C2" w:rsidP="00DB16C2">
      <w:pPr>
        <w:autoSpaceDE w:val="0"/>
        <w:autoSpaceDN w:val="0"/>
        <w:adjustRightInd w:val="0"/>
        <w:jc w:val="both"/>
        <w:rPr>
          <w:rFonts w:ascii="Tahoma" w:hAnsi="Tahoma" w:cs="Tahoma"/>
          <w:lang w:eastAsia="en-US"/>
        </w:rPr>
      </w:pPr>
    </w:p>
    <w:p w:rsidR="00DB16C2" w:rsidRPr="007B06ED" w:rsidRDefault="00DB16C2" w:rsidP="00DB16C2">
      <w:pPr>
        <w:pStyle w:val="Glava"/>
        <w:tabs>
          <w:tab w:val="left" w:pos="6096"/>
        </w:tabs>
        <w:rPr>
          <w:bCs/>
          <w:sz w:val="24"/>
        </w:rPr>
      </w:pPr>
      <w:r w:rsidRPr="007B06ED">
        <w:rPr>
          <w:bCs/>
          <w:sz w:val="24"/>
        </w:rPr>
        <w:t xml:space="preserve">Na  podlagi 17. člena Statuta Občine Šenčur (Uradni vestnik Gorenjske št. 2/11) je občinski svet na svoji </w:t>
      </w:r>
      <w:r w:rsidR="00637CBC" w:rsidRPr="007B06ED">
        <w:rPr>
          <w:bCs/>
          <w:sz w:val="24"/>
        </w:rPr>
        <w:t>28</w:t>
      </w:r>
      <w:r w:rsidRPr="007B06ED">
        <w:rPr>
          <w:bCs/>
          <w:sz w:val="24"/>
        </w:rPr>
        <w:t xml:space="preserve">. redni seji dne </w:t>
      </w:r>
      <w:r w:rsidR="00637CBC" w:rsidRPr="007B06ED">
        <w:rPr>
          <w:bCs/>
          <w:sz w:val="24"/>
        </w:rPr>
        <w:t>25</w:t>
      </w:r>
      <w:r w:rsidRPr="007B06ED">
        <w:rPr>
          <w:bCs/>
          <w:sz w:val="24"/>
        </w:rPr>
        <w:t>.09_2014 sprejel</w:t>
      </w:r>
    </w:p>
    <w:p w:rsidR="00DB16C2" w:rsidRPr="007B06ED" w:rsidRDefault="00DB16C2" w:rsidP="00DB16C2">
      <w:pPr>
        <w:pStyle w:val="Glava"/>
        <w:tabs>
          <w:tab w:val="left" w:pos="6096"/>
        </w:tabs>
        <w:rPr>
          <w:b/>
          <w:bCs/>
          <w:sz w:val="24"/>
        </w:rPr>
      </w:pPr>
    </w:p>
    <w:p w:rsidR="00DB16C2" w:rsidRPr="007B06ED" w:rsidRDefault="00DB16C2" w:rsidP="00DB16C2">
      <w:pPr>
        <w:pStyle w:val="Glava"/>
        <w:tabs>
          <w:tab w:val="left" w:pos="6096"/>
        </w:tabs>
        <w:rPr>
          <w:b/>
          <w:bCs/>
          <w:sz w:val="24"/>
        </w:rPr>
      </w:pPr>
    </w:p>
    <w:p w:rsidR="00DB16C2" w:rsidRPr="007B06ED" w:rsidRDefault="00DB16C2" w:rsidP="00DB16C2">
      <w:pPr>
        <w:pStyle w:val="Glava"/>
        <w:tabs>
          <w:tab w:val="left" w:pos="6096"/>
        </w:tabs>
        <w:jc w:val="center"/>
        <w:rPr>
          <w:b/>
          <w:bCs/>
          <w:sz w:val="24"/>
        </w:rPr>
      </w:pPr>
      <w:r w:rsidRPr="007B06ED">
        <w:rPr>
          <w:b/>
          <w:bCs/>
          <w:sz w:val="24"/>
        </w:rPr>
        <w:t xml:space="preserve">TEHNIČNI POPRAVEK </w:t>
      </w:r>
    </w:p>
    <w:p w:rsidR="00DB16C2" w:rsidRPr="007B06ED" w:rsidRDefault="00DB16C2" w:rsidP="00DB16C2">
      <w:pPr>
        <w:pStyle w:val="Glava"/>
        <w:tabs>
          <w:tab w:val="left" w:pos="6096"/>
        </w:tabs>
        <w:jc w:val="center"/>
        <w:rPr>
          <w:b/>
          <w:bCs/>
          <w:sz w:val="24"/>
        </w:rPr>
      </w:pPr>
      <w:r w:rsidRPr="007B06ED">
        <w:rPr>
          <w:b/>
          <w:bCs/>
          <w:sz w:val="24"/>
        </w:rPr>
        <w:t>ODLOKA O OBČINSKEM PODROBNEM PROSTORSKEM NAČRTU ZA OBMOČJE UREJANJA ŠENČUR ŠE-42 IG -1. FAZA</w:t>
      </w:r>
    </w:p>
    <w:p w:rsidR="00DB16C2" w:rsidRPr="007B06ED" w:rsidRDefault="00DB16C2" w:rsidP="00DB16C2">
      <w:pPr>
        <w:pStyle w:val="Glava"/>
        <w:tabs>
          <w:tab w:val="left" w:pos="6096"/>
        </w:tabs>
        <w:jc w:val="center"/>
        <w:rPr>
          <w:b/>
          <w:bCs/>
          <w:sz w:val="24"/>
        </w:rPr>
      </w:pPr>
    </w:p>
    <w:p w:rsidR="00DB16C2" w:rsidRPr="007B06ED" w:rsidRDefault="00DB16C2" w:rsidP="002714B6">
      <w:pPr>
        <w:pStyle w:val="Glava"/>
        <w:tabs>
          <w:tab w:val="left" w:pos="6096"/>
        </w:tabs>
        <w:jc w:val="both"/>
        <w:rPr>
          <w:bCs/>
          <w:sz w:val="24"/>
        </w:rPr>
      </w:pPr>
      <w:r w:rsidRPr="007B06ED">
        <w:rPr>
          <w:bCs/>
          <w:sz w:val="24"/>
        </w:rPr>
        <w:t>V  Odloku o Občinskem podrobnem prostorskem načrtu za območje urejanja Šenčur ŠE-42 IG – 1. faza, objavljenem v Uradnem glasilu slovenskih občin, št. 30/2012, z dne 5.10.2012, se popravi besedilo 2. odstavka 6. člena, tako, da se pravilno glasi</w:t>
      </w:r>
    </w:p>
    <w:p w:rsidR="00DB16C2" w:rsidRPr="007B06ED" w:rsidRDefault="00DB16C2" w:rsidP="002714B6">
      <w:pPr>
        <w:jc w:val="both"/>
        <w:rPr>
          <w:rFonts w:ascii="Arial" w:hAnsi="Arial"/>
          <w:sz w:val="20"/>
        </w:rPr>
      </w:pPr>
    </w:p>
    <w:p w:rsidR="00DB16C2" w:rsidRPr="007B06ED" w:rsidRDefault="00DB16C2" w:rsidP="002714B6">
      <w:pPr>
        <w:tabs>
          <w:tab w:val="left" w:pos="426"/>
        </w:tabs>
        <w:jc w:val="both"/>
      </w:pPr>
      <w:r w:rsidRPr="007B06ED">
        <w:t>»(2) UE 1 do UE 7 so namenjene zaokrožitvam obstoječih zunanjih ureditev in manipulativnih površin ter gradnji skladiščnih objektov in odprtih nadstrešnic za skladiščenje, ki bodo služili objektom na mejnih območjih v že delujočem delu OPC Šenčur.«</w:t>
      </w:r>
    </w:p>
    <w:p w:rsidR="00DB16C2" w:rsidRPr="007B06ED" w:rsidRDefault="00DB16C2" w:rsidP="002714B6">
      <w:pPr>
        <w:jc w:val="both"/>
        <w:rPr>
          <w:rFonts w:ascii="Arial" w:hAnsi="Arial"/>
          <w:sz w:val="20"/>
        </w:rPr>
      </w:pPr>
    </w:p>
    <w:p w:rsidR="002714B6" w:rsidRPr="007B06ED" w:rsidRDefault="002714B6" w:rsidP="002714B6">
      <w:pPr>
        <w:pStyle w:val="Glava"/>
        <w:tabs>
          <w:tab w:val="left" w:pos="6096"/>
        </w:tabs>
        <w:jc w:val="both"/>
        <w:rPr>
          <w:bCs/>
          <w:sz w:val="24"/>
        </w:rPr>
      </w:pPr>
      <w:r w:rsidRPr="007B06ED">
        <w:rPr>
          <w:bCs/>
          <w:sz w:val="24"/>
        </w:rPr>
        <w:t xml:space="preserve">Tehnični popravek se objavi v Uradnem glasilu </w:t>
      </w:r>
      <w:r w:rsidR="00992930" w:rsidRPr="007B06ED">
        <w:rPr>
          <w:bCs/>
          <w:sz w:val="24"/>
        </w:rPr>
        <w:t>s</w:t>
      </w:r>
      <w:r w:rsidRPr="007B06ED">
        <w:rPr>
          <w:bCs/>
          <w:sz w:val="24"/>
        </w:rPr>
        <w:t>lovenskih občin in začne veljati naslednji dan po objavi.</w:t>
      </w:r>
    </w:p>
    <w:p w:rsidR="002714B6" w:rsidRPr="007B06ED" w:rsidRDefault="002714B6" w:rsidP="00DB16C2">
      <w:pPr>
        <w:rPr>
          <w:rFonts w:ascii="Arial" w:hAnsi="Arial"/>
          <w:sz w:val="20"/>
        </w:rPr>
      </w:pPr>
    </w:p>
    <w:p w:rsidR="00DB16C2" w:rsidRPr="007B06ED" w:rsidRDefault="00DB16C2" w:rsidP="00DB16C2"/>
    <w:p w:rsidR="00DB16C2" w:rsidRPr="007B06ED" w:rsidRDefault="00DB16C2" w:rsidP="00DB16C2">
      <w:pPr>
        <w:tabs>
          <w:tab w:val="left" w:pos="426"/>
        </w:tabs>
      </w:pPr>
      <w:r w:rsidRPr="007B06ED">
        <w:t>Številka:</w:t>
      </w:r>
      <w:r w:rsidRPr="007B06ED">
        <w:tab/>
      </w:r>
      <w:r w:rsidRPr="007B06ED">
        <w:tab/>
      </w:r>
      <w:r w:rsidRPr="007B06ED">
        <w:tab/>
      </w:r>
      <w:r w:rsidRPr="007B06ED">
        <w:tab/>
      </w:r>
      <w:r w:rsidRPr="007B06ED">
        <w:tab/>
        <w:t xml:space="preserve">          </w:t>
      </w:r>
      <w:r w:rsidRPr="007B06ED">
        <w:tab/>
      </w:r>
      <w:r w:rsidRPr="007B06ED">
        <w:tab/>
      </w:r>
      <w:r w:rsidRPr="007B06ED">
        <w:tab/>
        <w:t xml:space="preserve">          </w:t>
      </w:r>
      <w:r w:rsidR="00637CBC" w:rsidRPr="007B06ED">
        <w:t>Ž</w:t>
      </w:r>
      <w:r w:rsidRPr="007B06ED">
        <w:t>upan Občine Šenčur</w:t>
      </w:r>
    </w:p>
    <w:p w:rsidR="00DB16C2" w:rsidRPr="007B06ED" w:rsidRDefault="00DB16C2" w:rsidP="00DB16C2">
      <w:pPr>
        <w:tabs>
          <w:tab w:val="left" w:pos="426"/>
        </w:tabs>
      </w:pPr>
      <w:r w:rsidRPr="007B06ED">
        <w:t>Datum: _. 9. 2014</w:t>
      </w:r>
      <w:r w:rsidRPr="007B06ED">
        <w:tab/>
      </w:r>
      <w:r w:rsidRPr="007B06ED">
        <w:tab/>
      </w:r>
      <w:r w:rsidRPr="007B06ED">
        <w:tab/>
      </w:r>
      <w:r w:rsidRPr="007B06ED">
        <w:tab/>
      </w:r>
      <w:r w:rsidRPr="007B06ED">
        <w:tab/>
      </w:r>
      <w:r w:rsidRPr="007B06ED">
        <w:tab/>
      </w:r>
      <w:r w:rsidRPr="007B06ED">
        <w:tab/>
        <w:t xml:space="preserve">           MIRO KOZELJ</w:t>
      </w:r>
    </w:p>
    <w:p w:rsidR="00DB16C2" w:rsidRPr="007B06ED" w:rsidRDefault="00DB16C2" w:rsidP="00DB16C2">
      <w:pPr>
        <w:autoSpaceDE w:val="0"/>
        <w:autoSpaceDN w:val="0"/>
        <w:adjustRightInd w:val="0"/>
        <w:jc w:val="both"/>
        <w:rPr>
          <w:rFonts w:ascii="Tahoma" w:hAnsi="Tahoma" w:cs="Tahoma"/>
          <w:lang w:eastAsia="en-US"/>
        </w:rPr>
      </w:pPr>
    </w:p>
    <w:p w:rsidR="00DB16C2" w:rsidRDefault="00DB16C2" w:rsidP="00DB16C2">
      <w:pPr>
        <w:autoSpaceDE w:val="0"/>
        <w:autoSpaceDN w:val="0"/>
        <w:adjustRightInd w:val="0"/>
        <w:jc w:val="both"/>
        <w:rPr>
          <w:rFonts w:ascii="Tahoma" w:hAnsi="Tahoma" w:cs="Tahoma"/>
          <w:lang w:eastAsia="en-US"/>
        </w:rPr>
      </w:pPr>
    </w:p>
    <w:p w:rsidR="00DB16C2" w:rsidRDefault="00DB16C2" w:rsidP="00DB16C2">
      <w:pPr>
        <w:pStyle w:val="Glava"/>
        <w:tabs>
          <w:tab w:val="left" w:pos="6096"/>
        </w:tabs>
        <w:jc w:val="center"/>
        <w:rPr>
          <w:b/>
          <w:bCs/>
          <w:sz w:val="24"/>
        </w:rPr>
      </w:pPr>
      <w:r>
        <w:rPr>
          <w:b/>
          <w:bCs/>
          <w:sz w:val="24"/>
        </w:rPr>
        <w:t>ČISTOPIS</w:t>
      </w:r>
    </w:p>
    <w:p w:rsidR="00DB16C2" w:rsidRDefault="00DB16C2" w:rsidP="00DB16C2">
      <w:pPr>
        <w:pStyle w:val="Glava"/>
        <w:tabs>
          <w:tab w:val="left" w:pos="6096"/>
        </w:tabs>
        <w:jc w:val="center"/>
        <w:rPr>
          <w:b/>
          <w:bCs/>
          <w:sz w:val="24"/>
        </w:rPr>
      </w:pPr>
      <w:r>
        <w:rPr>
          <w:b/>
          <w:bCs/>
          <w:sz w:val="24"/>
        </w:rPr>
        <w:t>6. člena Odloka</w:t>
      </w:r>
    </w:p>
    <w:p w:rsidR="00DB16C2" w:rsidRDefault="00DB16C2" w:rsidP="00DB16C2">
      <w:pPr>
        <w:tabs>
          <w:tab w:val="left" w:pos="6096"/>
        </w:tabs>
        <w:jc w:val="center"/>
        <w:rPr>
          <w:b/>
        </w:rPr>
      </w:pPr>
      <w:r>
        <w:rPr>
          <w:b/>
        </w:rPr>
        <w:t xml:space="preserve">o občinskem podrobnem prostorskem načrtu za območje urejanja Šenčur </w:t>
      </w:r>
      <w:r>
        <w:rPr>
          <w:b/>
        </w:rPr>
        <w:br/>
        <w:t>ŠE-42 IG - 1. faza</w:t>
      </w:r>
    </w:p>
    <w:p w:rsidR="00DB16C2" w:rsidRDefault="00DB16C2" w:rsidP="00DB16C2">
      <w:pPr>
        <w:rPr>
          <w:rFonts w:ascii="Arial" w:hAnsi="Arial"/>
          <w:sz w:val="20"/>
          <w:szCs w:val="20"/>
        </w:rPr>
      </w:pPr>
    </w:p>
    <w:p w:rsidR="00DB16C2" w:rsidRDefault="00DB16C2" w:rsidP="00DB16C2">
      <w:pPr>
        <w:pStyle w:val="len"/>
        <w:numPr>
          <w:ilvl w:val="0"/>
          <w:numId w:val="2"/>
        </w:numPr>
        <w:tabs>
          <w:tab w:val="left" w:pos="708"/>
        </w:tabs>
        <w:rPr>
          <w:rFonts w:cs="Times New Roman"/>
        </w:rPr>
      </w:pPr>
      <w:r>
        <w:rPr>
          <w:rFonts w:cs="Times New Roman"/>
        </w:rPr>
        <w:t>člen</w:t>
      </w:r>
    </w:p>
    <w:p w:rsidR="00DB16C2" w:rsidRDefault="00DB16C2" w:rsidP="00DB16C2">
      <w:pPr>
        <w:pStyle w:val="xl34"/>
        <w:pBdr>
          <w:bottom w:val="none" w:sz="0" w:space="0" w:color="auto"/>
        </w:pBdr>
        <w:tabs>
          <w:tab w:val="left" w:pos="6096"/>
        </w:tabs>
        <w:spacing w:before="0" w:beforeAutospacing="0" w:after="0" w:afterAutospacing="0"/>
        <w:rPr>
          <w:rFonts w:ascii="Times New Roman" w:eastAsia="Times New Roman" w:hAnsi="Times New Roman" w:cs="Times New Roman"/>
          <w:szCs w:val="20"/>
        </w:rPr>
      </w:pPr>
      <w:r>
        <w:rPr>
          <w:rFonts w:ascii="Times New Roman" w:eastAsia="Times New Roman" w:hAnsi="Times New Roman" w:cs="Times New Roman"/>
          <w:szCs w:val="20"/>
        </w:rPr>
        <w:t>(opis rešitev načrtovanih objektov in površin)</w:t>
      </w:r>
    </w:p>
    <w:p w:rsidR="00DB16C2" w:rsidRDefault="00DB16C2" w:rsidP="00DB16C2">
      <w:pPr>
        <w:pStyle w:val="p"/>
        <w:tabs>
          <w:tab w:val="left" w:pos="700"/>
          <w:tab w:val="left" w:pos="4100"/>
        </w:tabs>
        <w:spacing w:before="0" w:after="0"/>
        <w:ind w:left="0" w:right="11" w:firstLine="0"/>
        <w:rPr>
          <w:rFonts w:ascii="Times New Roman" w:hAnsi="Times New Roman" w:cs="Times New Roman"/>
          <w:color w:val="auto"/>
          <w:sz w:val="24"/>
        </w:rPr>
      </w:pPr>
    </w:p>
    <w:p w:rsidR="00DB16C2" w:rsidRDefault="00DB16C2" w:rsidP="00DB16C2">
      <w:pPr>
        <w:numPr>
          <w:ilvl w:val="0"/>
          <w:numId w:val="3"/>
        </w:numPr>
        <w:tabs>
          <w:tab w:val="left" w:pos="426"/>
        </w:tabs>
        <w:ind w:left="0" w:firstLine="0"/>
        <w:jc w:val="both"/>
      </w:pPr>
      <w:r>
        <w:t>Območje je glede na lastniško stanje razdeljeno na sedem manjših urejevalnih enot z oznakami od UE 1 do UE 7, ki predstavljajo parcele za gradnjo objektov in so povezane z obstoječimi objekti na sosednjih EUP.</w:t>
      </w:r>
    </w:p>
    <w:p w:rsidR="00DB16C2" w:rsidRPr="00DB16C2" w:rsidRDefault="00DB16C2" w:rsidP="00DB16C2">
      <w:pPr>
        <w:numPr>
          <w:ilvl w:val="0"/>
          <w:numId w:val="3"/>
        </w:numPr>
        <w:tabs>
          <w:tab w:val="left" w:pos="426"/>
        </w:tabs>
        <w:ind w:left="0" w:firstLine="0"/>
        <w:jc w:val="both"/>
      </w:pPr>
      <w:r w:rsidRPr="00DB16C2">
        <w:t>UE 1 do UE 7 so namenjene zaokrožitvam obstoječih zunanjih ureditev in manipulativnih površin ter gradnji skladiščnih objektov in odprtih nadstrešnic za skladiščenje, ki bodo služili objektom na mejnih območjih v že delujočem delu OPC Šenčur.</w:t>
      </w:r>
    </w:p>
    <w:p w:rsidR="00DB16C2" w:rsidRDefault="00DB16C2" w:rsidP="00DB16C2">
      <w:pPr>
        <w:numPr>
          <w:ilvl w:val="0"/>
          <w:numId w:val="3"/>
        </w:numPr>
        <w:tabs>
          <w:tab w:val="left" w:pos="426"/>
        </w:tabs>
        <w:ind w:left="0" w:firstLine="0"/>
        <w:jc w:val="both"/>
      </w:pPr>
      <w:r>
        <w:t>Na urejevalni enoti UE 7 je poleg širitve zunanjih manipulativnih površin (parkirišče za tovorna vozila), ki pripadajo k obstoječemu objektu na zemljišču parc. št. 1105/2, k.o. Šenčur (na EUP ŠE-40 IG) predvidena še:</w:t>
      </w:r>
    </w:p>
    <w:p w:rsidR="00DB16C2" w:rsidRDefault="00DB16C2" w:rsidP="00DB16C2">
      <w:pPr>
        <w:tabs>
          <w:tab w:val="left" w:pos="426"/>
        </w:tabs>
        <w:jc w:val="both"/>
      </w:pPr>
      <w:r>
        <w:tab/>
        <w:t xml:space="preserve">- gradnja skladiščnega objekta (objekt 1), </w:t>
      </w:r>
    </w:p>
    <w:p w:rsidR="00DB16C2" w:rsidRDefault="00DB16C2" w:rsidP="00DB16C2">
      <w:pPr>
        <w:tabs>
          <w:tab w:val="left" w:pos="426"/>
        </w:tabs>
        <w:jc w:val="both"/>
      </w:pPr>
      <w:r>
        <w:tab/>
        <w:t>- gradnja objekta za počitek (objekt 2).</w:t>
      </w:r>
    </w:p>
    <w:p w:rsidR="00DB16C2" w:rsidRDefault="00DB16C2" w:rsidP="00DB16C2">
      <w:pPr>
        <w:tabs>
          <w:tab w:val="left" w:pos="426"/>
        </w:tabs>
        <w:jc w:val="both"/>
      </w:pPr>
      <w:r>
        <w:t>Pred gradnjo novih objektov se odstrani obstoječ objekt za počitek, ki je zgrajen na delih zemljišč parc. št. 1153/1, 1153/2 in 1105/2, k.o. Šenčur.</w:t>
      </w:r>
    </w:p>
    <w:p w:rsidR="00DB16C2" w:rsidRDefault="00DB16C2" w:rsidP="00DB16C2">
      <w:pPr>
        <w:numPr>
          <w:ilvl w:val="0"/>
          <w:numId w:val="3"/>
        </w:numPr>
        <w:tabs>
          <w:tab w:val="left" w:pos="426"/>
        </w:tabs>
        <w:ind w:left="0" w:firstLine="0"/>
        <w:jc w:val="both"/>
      </w:pPr>
      <w:r>
        <w:t>Tlorisni gabariti objektov:</w:t>
      </w:r>
    </w:p>
    <w:p w:rsidR="00DB16C2" w:rsidRDefault="00DB16C2" w:rsidP="00DB16C2">
      <w:pPr>
        <w:tabs>
          <w:tab w:val="left" w:pos="426"/>
        </w:tabs>
        <w:jc w:val="both"/>
        <w:rPr>
          <w:u w:val="single"/>
        </w:rPr>
      </w:pPr>
      <w:r>
        <w:rPr>
          <w:u w:val="single"/>
        </w:rPr>
        <w:t>UE 1 do UE 6</w:t>
      </w:r>
    </w:p>
    <w:p w:rsidR="00DB16C2" w:rsidRDefault="00DB16C2" w:rsidP="00DB16C2">
      <w:pPr>
        <w:tabs>
          <w:tab w:val="left" w:pos="426"/>
        </w:tabs>
        <w:jc w:val="both"/>
      </w:pPr>
      <w:r>
        <w:t>Tlorisni gabariti objektov niso natančno definirani. Objekte se lahko umešča glede na njihovo namembnost do v grafičnem delu prikazanih (GM-1 in GM-2), ki sta določeni glede na zahtevane odmike od prenosnega plinovoda.</w:t>
      </w:r>
    </w:p>
    <w:p w:rsidR="00DB16C2" w:rsidRDefault="00DB16C2" w:rsidP="00DB16C2">
      <w:pPr>
        <w:tabs>
          <w:tab w:val="left" w:pos="426"/>
        </w:tabs>
        <w:jc w:val="both"/>
      </w:pPr>
      <w:r>
        <w:t>Pri določitvi tlorisnih gabaritov objektov je poleg GM potrebno upoštevati tudi zahtevane odmike od parcelnih mej, požarno varnostne odmike ter predpisan faktor zazidanosti zemljišč.</w:t>
      </w:r>
    </w:p>
    <w:p w:rsidR="00DB16C2" w:rsidRDefault="00DB16C2" w:rsidP="00DB16C2">
      <w:pPr>
        <w:tabs>
          <w:tab w:val="left" w:pos="426"/>
        </w:tabs>
        <w:jc w:val="both"/>
        <w:rPr>
          <w:u w:val="single"/>
        </w:rPr>
      </w:pPr>
      <w:r>
        <w:rPr>
          <w:u w:val="single"/>
        </w:rPr>
        <w:t>UE 7</w:t>
      </w:r>
    </w:p>
    <w:p w:rsidR="00DB16C2" w:rsidRDefault="00DB16C2" w:rsidP="00DB16C2">
      <w:pPr>
        <w:tabs>
          <w:tab w:val="left" w:pos="426"/>
        </w:tabs>
        <w:jc w:val="both"/>
      </w:pPr>
      <w:r>
        <w:t xml:space="preserve">objekt 1: </w:t>
      </w:r>
      <w:r>
        <w:tab/>
        <w:t xml:space="preserve">50,00 m x 31,00 m (tloris objekta je trikotne oblike), </w:t>
      </w:r>
    </w:p>
    <w:p w:rsidR="00DB16C2" w:rsidRDefault="00DB16C2" w:rsidP="00DB16C2">
      <w:pPr>
        <w:tabs>
          <w:tab w:val="left" w:pos="426"/>
        </w:tabs>
        <w:jc w:val="both"/>
      </w:pPr>
      <w:r>
        <w:t xml:space="preserve">objekt 2: </w:t>
      </w:r>
      <w:r>
        <w:tab/>
        <w:t xml:space="preserve">11,30 m x 7,00 m </w:t>
      </w:r>
    </w:p>
    <w:p w:rsidR="00DB16C2" w:rsidRDefault="00DB16C2" w:rsidP="00DB16C2">
      <w:pPr>
        <w:tabs>
          <w:tab w:val="left" w:pos="426"/>
        </w:tabs>
        <w:jc w:val="both"/>
      </w:pPr>
      <w:r>
        <w:t>Višinski gabariti objektov:</w:t>
      </w:r>
    </w:p>
    <w:p w:rsidR="00DB16C2" w:rsidRDefault="00DB16C2" w:rsidP="00DB16C2">
      <w:pPr>
        <w:numPr>
          <w:ilvl w:val="0"/>
          <w:numId w:val="3"/>
        </w:numPr>
        <w:tabs>
          <w:tab w:val="left" w:pos="426"/>
        </w:tabs>
        <w:ind w:left="0" w:firstLine="0"/>
        <w:jc w:val="both"/>
      </w:pPr>
      <w:r>
        <w:t>Dopusten vertikalni gabarit za objekte je do P+2. Višina slemena oziroma venca strehe objekta je lahko do 12,5 m nad koto pritličja. Kota pritličja objekta je lahko največ 45 cm nad koto uvoza na parcelo. Gradnja kletnih etaž je dopustna.</w:t>
      </w:r>
    </w:p>
    <w:p w:rsidR="00DB16C2" w:rsidRPr="00294141" w:rsidRDefault="00DB16C2" w:rsidP="00DB16C2">
      <w:pPr>
        <w:autoSpaceDE w:val="0"/>
        <w:autoSpaceDN w:val="0"/>
        <w:adjustRightInd w:val="0"/>
        <w:jc w:val="both"/>
        <w:rPr>
          <w:rFonts w:ascii="Tahoma" w:hAnsi="Tahoma" w:cs="Tahoma"/>
          <w:lang w:eastAsia="en-US"/>
        </w:rPr>
      </w:pPr>
    </w:p>
    <w:p w:rsidR="0024089F" w:rsidRDefault="0024089F"/>
    <w:sectPr w:rsidR="002408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C0088"/>
    <w:multiLevelType w:val="hybridMultilevel"/>
    <w:tmpl w:val="701EB7E4"/>
    <w:lvl w:ilvl="0" w:tplc="6AE2CF3E">
      <w:start w:val="1"/>
      <w:numFmt w:val="decimal"/>
      <w:pStyle w:val="len"/>
      <w:lvlText w:val="%1."/>
      <w:lvlJc w:val="left"/>
      <w:pPr>
        <w:tabs>
          <w:tab w:val="num" w:pos="717"/>
        </w:tabs>
        <w:ind w:left="717"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
    <w:nsid w:val="40E54640"/>
    <w:multiLevelType w:val="hybridMultilevel"/>
    <w:tmpl w:val="C818F8A2"/>
    <w:lvl w:ilvl="0" w:tplc="AAEA3DD0">
      <w:start w:val="1"/>
      <w:numFmt w:val="decimal"/>
      <w:lvlText w:val="(%1)"/>
      <w:lvlJc w:val="left"/>
      <w:pPr>
        <w:ind w:left="720" w:hanging="360"/>
      </w:pPr>
      <w:rPr>
        <w:i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nsid w:val="5D391DC0"/>
    <w:multiLevelType w:val="hybridMultilevel"/>
    <w:tmpl w:val="BDA88016"/>
    <w:lvl w:ilvl="0" w:tplc="E6AAC464">
      <w:start w:val="6"/>
      <w:numFmt w:val="decimal"/>
      <w:lvlText w:val="%1."/>
      <w:lvlJc w:val="left"/>
      <w:pPr>
        <w:ind w:left="717" w:hanging="360"/>
      </w:pPr>
    </w:lvl>
    <w:lvl w:ilvl="1" w:tplc="04240019">
      <w:start w:val="1"/>
      <w:numFmt w:val="lowerLetter"/>
      <w:lvlText w:val="%2."/>
      <w:lvlJc w:val="left"/>
      <w:pPr>
        <w:ind w:left="1437" w:hanging="360"/>
      </w:pPr>
    </w:lvl>
    <w:lvl w:ilvl="2" w:tplc="0424001B">
      <w:start w:val="1"/>
      <w:numFmt w:val="lowerRoman"/>
      <w:lvlText w:val="%3."/>
      <w:lvlJc w:val="right"/>
      <w:pPr>
        <w:ind w:left="2157" w:hanging="180"/>
      </w:pPr>
    </w:lvl>
    <w:lvl w:ilvl="3" w:tplc="0424000F">
      <w:start w:val="1"/>
      <w:numFmt w:val="decimal"/>
      <w:lvlText w:val="%4."/>
      <w:lvlJc w:val="left"/>
      <w:pPr>
        <w:ind w:left="2877" w:hanging="360"/>
      </w:pPr>
    </w:lvl>
    <w:lvl w:ilvl="4" w:tplc="04240019">
      <w:start w:val="1"/>
      <w:numFmt w:val="lowerLetter"/>
      <w:lvlText w:val="%5."/>
      <w:lvlJc w:val="left"/>
      <w:pPr>
        <w:ind w:left="3597" w:hanging="360"/>
      </w:pPr>
    </w:lvl>
    <w:lvl w:ilvl="5" w:tplc="0424001B">
      <w:start w:val="1"/>
      <w:numFmt w:val="lowerRoman"/>
      <w:lvlText w:val="%6."/>
      <w:lvlJc w:val="right"/>
      <w:pPr>
        <w:ind w:left="4317" w:hanging="180"/>
      </w:pPr>
    </w:lvl>
    <w:lvl w:ilvl="6" w:tplc="0424000F">
      <w:start w:val="1"/>
      <w:numFmt w:val="decimal"/>
      <w:lvlText w:val="%7."/>
      <w:lvlJc w:val="left"/>
      <w:pPr>
        <w:ind w:left="5037" w:hanging="360"/>
      </w:pPr>
    </w:lvl>
    <w:lvl w:ilvl="7" w:tplc="04240019">
      <w:start w:val="1"/>
      <w:numFmt w:val="lowerLetter"/>
      <w:lvlText w:val="%8."/>
      <w:lvlJc w:val="left"/>
      <w:pPr>
        <w:ind w:left="5757" w:hanging="360"/>
      </w:pPr>
    </w:lvl>
    <w:lvl w:ilvl="8" w:tplc="0424001B">
      <w:start w:val="1"/>
      <w:numFmt w:val="lowerRoman"/>
      <w:lvlText w:val="%9."/>
      <w:lvlJc w:val="right"/>
      <w:pPr>
        <w:ind w:left="647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6C2"/>
    <w:rsid w:val="00024A32"/>
    <w:rsid w:val="0024089F"/>
    <w:rsid w:val="002714B6"/>
    <w:rsid w:val="00637CBC"/>
    <w:rsid w:val="006419AE"/>
    <w:rsid w:val="007B06ED"/>
    <w:rsid w:val="00992930"/>
    <w:rsid w:val="00DB16C2"/>
    <w:rsid w:val="00EB19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B16C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
    <w:basedOn w:val="Navaden"/>
    <w:link w:val="GlavaZnak1"/>
    <w:rsid w:val="00DB16C2"/>
    <w:pPr>
      <w:tabs>
        <w:tab w:val="center" w:pos="4536"/>
        <w:tab w:val="right" w:pos="9072"/>
      </w:tabs>
    </w:pPr>
    <w:rPr>
      <w:sz w:val="20"/>
      <w:szCs w:val="20"/>
    </w:rPr>
  </w:style>
  <w:style w:type="character" w:customStyle="1" w:styleId="GlavaZnak">
    <w:name w:val="Glava Znak"/>
    <w:basedOn w:val="Privzetapisavaodstavka"/>
    <w:uiPriority w:val="99"/>
    <w:semiHidden/>
    <w:rsid w:val="00DB16C2"/>
    <w:rPr>
      <w:rFonts w:ascii="Times New Roman" w:eastAsia="Times New Roman" w:hAnsi="Times New Roman" w:cs="Times New Roman"/>
      <w:sz w:val="24"/>
      <w:szCs w:val="24"/>
      <w:lang w:eastAsia="sl-SI"/>
    </w:rPr>
  </w:style>
  <w:style w:type="character" w:customStyle="1" w:styleId="GlavaZnak1">
    <w:name w:val="Glava Znak1"/>
    <w:aliases w:val="Glava Znak Znak Znak Znak Znak1,Glava Znak Znak Znak Znak Znak Znak,Glava Znak Znak Znak Znak1,Glava Znak Znak Znak Znak Znak Znak Znak Znak Znak Znak Znak Znak Znak Zn Znak Znak"/>
    <w:link w:val="Glava"/>
    <w:locked/>
    <w:rsid w:val="00DB16C2"/>
    <w:rPr>
      <w:rFonts w:ascii="Times New Roman" w:eastAsia="Times New Roman" w:hAnsi="Times New Roman" w:cs="Times New Roman"/>
      <w:sz w:val="20"/>
      <w:szCs w:val="20"/>
      <w:lang w:eastAsia="sl-SI"/>
    </w:rPr>
  </w:style>
  <w:style w:type="paragraph" w:customStyle="1" w:styleId="xl34">
    <w:name w:val="xl34"/>
    <w:basedOn w:val="Navaden"/>
    <w:rsid w:val="00DB16C2"/>
    <w:pPr>
      <w:pBdr>
        <w:bottom w:val="single" w:sz="4" w:space="0" w:color="auto"/>
      </w:pBdr>
      <w:spacing w:before="100" w:beforeAutospacing="1" w:after="100" w:afterAutospacing="1"/>
      <w:jc w:val="center"/>
    </w:pPr>
    <w:rPr>
      <w:rFonts w:ascii="Arial" w:eastAsia="Arial Unicode MS" w:hAnsi="Arial" w:cs="Arial"/>
    </w:rPr>
  </w:style>
  <w:style w:type="paragraph" w:customStyle="1" w:styleId="p">
    <w:name w:val="p"/>
    <w:basedOn w:val="Navaden"/>
    <w:rsid w:val="00DB16C2"/>
    <w:pPr>
      <w:spacing w:before="50" w:after="13"/>
      <w:ind w:left="13" w:right="13" w:firstLine="240"/>
      <w:jc w:val="both"/>
    </w:pPr>
    <w:rPr>
      <w:rFonts w:ascii="Arial" w:hAnsi="Arial" w:cs="Arial"/>
      <w:color w:val="222222"/>
      <w:sz w:val="22"/>
      <w:szCs w:val="22"/>
    </w:rPr>
  </w:style>
  <w:style w:type="paragraph" w:customStyle="1" w:styleId="len">
    <w:name w:val="člen"/>
    <w:basedOn w:val="Navaden"/>
    <w:rsid w:val="00DB16C2"/>
    <w:pPr>
      <w:numPr>
        <w:numId w:val="1"/>
      </w:numPr>
      <w:jc w:val="center"/>
    </w:pPr>
    <w:rPr>
      <w:rFonts w:cs="Arial"/>
      <w:b/>
    </w:rPr>
  </w:style>
  <w:style w:type="paragraph" w:styleId="Besedilooblaka">
    <w:name w:val="Balloon Text"/>
    <w:basedOn w:val="Navaden"/>
    <w:link w:val="BesedilooblakaZnak"/>
    <w:uiPriority w:val="99"/>
    <w:semiHidden/>
    <w:unhideWhenUsed/>
    <w:rsid w:val="00EB196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B1969"/>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B16C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
    <w:basedOn w:val="Navaden"/>
    <w:link w:val="GlavaZnak1"/>
    <w:rsid w:val="00DB16C2"/>
    <w:pPr>
      <w:tabs>
        <w:tab w:val="center" w:pos="4536"/>
        <w:tab w:val="right" w:pos="9072"/>
      </w:tabs>
    </w:pPr>
    <w:rPr>
      <w:sz w:val="20"/>
      <w:szCs w:val="20"/>
    </w:rPr>
  </w:style>
  <w:style w:type="character" w:customStyle="1" w:styleId="GlavaZnak">
    <w:name w:val="Glava Znak"/>
    <w:basedOn w:val="Privzetapisavaodstavka"/>
    <w:uiPriority w:val="99"/>
    <w:semiHidden/>
    <w:rsid w:val="00DB16C2"/>
    <w:rPr>
      <w:rFonts w:ascii="Times New Roman" w:eastAsia="Times New Roman" w:hAnsi="Times New Roman" w:cs="Times New Roman"/>
      <w:sz w:val="24"/>
      <w:szCs w:val="24"/>
      <w:lang w:eastAsia="sl-SI"/>
    </w:rPr>
  </w:style>
  <w:style w:type="character" w:customStyle="1" w:styleId="GlavaZnak1">
    <w:name w:val="Glava Znak1"/>
    <w:aliases w:val="Glava Znak Znak Znak Znak Znak1,Glava Znak Znak Znak Znak Znak Znak,Glava Znak Znak Znak Znak1,Glava Znak Znak Znak Znak Znak Znak Znak Znak Znak Znak Znak Znak Znak Zn Znak Znak"/>
    <w:link w:val="Glava"/>
    <w:locked/>
    <w:rsid w:val="00DB16C2"/>
    <w:rPr>
      <w:rFonts w:ascii="Times New Roman" w:eastAsia="Times New Roman" w:hAnsi="Times New Roman" w:cs="Times New Roman"/>
      <w:sz w:val="20"/>
      <w:szCs w:val="20"/>
      <w:lang w:eastAsia="sl-SI"/>
    </w:rPr>
  </w:style>
  <w:style w:type="paragraph" w:customStyle="1" w:styleId="xl34">
    <w:name w:val="xl34"/>
    <w:basedOn w:val="Navaden"/>
    <w:rsid w:val="00DB16C2"/>
    <w:pPr>
      <w:pBdr>
        <w:bottom w:val="single" w:sz="4" w:space="0" w:color="auto"/>
      </w:pBdr>
      <w:spacing w:before="100" w:beforeAutospacing="1" w:after="100" w:afterAutospacing="1"/>
      <w:jc w:val="center"/>
    </w:pPr>
    <w:rPr>
      <w:rFonts w:ascii="Arial" w:eastAsia="Arial Unicode MS" w:hAnsi="Arial" w:cs="Arial"/>
    </w:rPr>
  </w:style>
  <w:style w:type="paragraph" w:customStyle="1" w:styleId="p">
    <w:name w:val="p"/>
    <w:basedOn w:val="Navaden"/>
    <w:rsid w:val="00DB16C2"/>
    <w:pPr>
      <w:spacing w:before="50" w:after="13"/>
      <w:ind w:left="13" w:right="13" w:firstLine="240"/>
      <w:jc w:val="both"/>
    </w:pPr>
    <w:rPr>
      <w:rFonts w:ascii="Arial" w:hAnsi="Arial" w:cs="Arial"/>
      <w:color w:val="222222"/>
      <w:sz w:val="22"/>
      <w:szCs w:val="22"/>
    </w:rPr>
  </w:style>
  <w:style w:type="paragraph" w:customStyle="1" w:styleId="len">
    <w:name w:val="člen"/>
    <w:basedOn w:val="Navaden"/>
    <w:rsid w:val="00DB16C2"/>
    <w:pPr>
      <w:numPr>
        <w:numId w:val="1"/>
      </w:numPr>
      <w:jc w:val="center"/>
    </w:pPr>
    <w:rPr>
      <w:rFonts w:cs="Arial"/>
      <w:b/>
    </w:rPr>
  </w:style>
  <w:style w:type="paragraph" w:styleId="Besedilooblaka">
    <w:name w:val="Balloon Text"/>
    <w:basedOn w:val="Navaden"/>
    <w:link w:val="BesedilooblakaZnak"/>
    <w:uiPriority w:val="99"/>
    <w:semiHidden/>
    <w:unhideWhenUsed/>
    <w:rsid w:val="00EB196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B1969"/>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2678</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Evgenija Petak</dc:creator>
  <cp:lastModifiedBy>Cankar Marija</cp:lastModifiedBy>
  <cp:revision>2</cp:revision>
  <dcterms:created xsi:type="dcterms:W3CDTF">2014-09-18T10:28:00Z</dcterms:created>
  <dcterms:modified xsi:type="dcterms:W3CDTF">2014-09-18T10:28:00Z</dcterms:modified>
</cp:coreProperties>
</file>