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84" w:rsidRPr="00CF1766" w:rsidRDefault="009A1884" w:rsidP="00A3183A">
      <w:pPr>
        <w:autoSpaceDE w:val="0"/>
        <w:autoSpaceDN w:val="0"/>
        <w:adjustRightInd w:val="0"/>
        <w:rPr>
          <w:rFonts w:cs="Arial"/>
          <w:b/>
          <w:sz w:val="20"/>
          <w:szCs w:val="20"/>
        </w:rPr>
      </w:pPr>
    </w:p>
    <w:tbl>
      <w:tblPr>
        <w:tblW w:w="9212" w:type="dxa"/>
        <w:tblLayout w:type="fixed"/>
        <w:tblCellMar>
          <w:left w:w="70" w:type="dxa"/>
          <w:right w:w="70" w:type="dxa"/>
        </w:tblCellMar>
        <w:tblLook w:val="0000" w:firstRow="0" w:lastRow="0" w:firstColumn="0" w:lastColumn="0" w:noHBand="0" w:noVBand="0"/>
      </w:tblPr>
      <w:tblGrid>
        <w:gridCol w:w="1913"/>
        <w:gridCol w:w="7299"/>
      </w:tblGrid>
      <w:tr w:rsidR="00760C5A" w:rsidRPr="002C7055" w:rsidTr="003D1CB1">
        <w:tc>
          <w:tcPr>
            <w:tcW w:w="1913" w:type="dxa"/>
          </w:tcPr>
          <w:p w:rsidR="00760C5A" w:rsidRPr="002C7055" w:rsidRDefault="00760C5A" w:rsidP="003D1CB1">
            <w:pPr>
              <w:tabs>
                <w:tab w:val="center" w:pos="4536"/>
                <w:tab w:val="right" w:pos="9072"/>
              </w:tabs>
              <w:ind w:left="360"/>
              <w:rPr>
                <w:rFonts w:ascii="Tahoma" w:hAnsi="Tahoma" w:cs="Tahoma"/>
                <w:sz w:val="24"/>
              </w:rPr>
            </w:pPr>
            <w:r w:rsidRPr="002C7055">
              <w:rPr>
                <w:rFonts w:ascii="Tahoma" w:hAnsi="Tahoma" w:cs="Tahoma"/>
                <w:noProof/>
                <w:sz w:val="24"/>
              </w:rPr>
              <w:drawing>
                <wp:inline distT="0" distB="0" distL="0" distR="0">
                  <wp:extent cx="914400" cy="10191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tc>
        <w:tc>
          <w:tcPr>
            <w:tcW w:w="7299" w:type="dxa"/>
          </w:tcPr>
          <w:p w:rsidR="00760C5A" w:rsidRPr="002C7055" w:rsidRDefault="00760C5A" w:rsidP="003D1CB1">
            <w:pPr>
              <w:tabs>
                <w:tab w:val="center" w:pos="4536"/>
                <w:tab w:val="right" w:pos="9072"/>
              </w:tabs>
              <w:ind w:left="360"/>
              <w:rPr>
                <w:rFonts w:ascii="Tahoma" w:hAnsi="Tahoma" w:cs="Tahoma"/>
                <w:sz w:val="24"/>
              </w:rPr>
            </w:pPr>
            <w:r w:rsidRPr="002C7055">
              <w:rPr>
                <w:rFonts w:ascii="Tahoma" w:hAnsi="Tahoma" w:cs="Tahoma"/>
                <w:sz w:val="24"/>
              </w:rPr>
              <w:t>OBČINA ŠENČUR</w:t>
            </w:r>
          </w:p>
          <w:p w:rsidR="00760C5A" w:rsidRPr="002C7055" w:rsidRDefault="00760C5A" w:rsidP="003D1CB1">
            <w:pPr>
              <w:tabs>
                <w:tab w:val="center" w:pos="4536"/>
                <w:tab w:val="right" w:pos="9072"/>
              </w:tabs>
              <w:ind w:left="360"/>
              <w:rPr>
                <w:rFonts w:ascii="Tahoma" w:hAnsi="Tahoma" w:cs="Tahoma"/>
                <w:sz w:val="24"/>
              </w:rPr>
            </w:pPr>
            <w:r w:rsidRPr="002C7055">
              <w:rPr>
                <w:rFonts w:ascii="Tahoma" w:hAnsi="Tahoma" w:cs="Tahoma"/>
                <w:sz w:val="24"/>
              </w:rPr>
              <w:t>Kranjska 11</w:t>
            </w:r>
          </w:p>
          <w:p w:rsidR="00760C5A" w:rsidRPr="002C7055" w:rsidRDefault="00760C5A" w:rsidP="003D1CB1">
            <w:pPr>
              <w:tabs>
                <w:tab w:val="center" w:pos="4536"/>
                <w:tab w:val="right" w:pos="9072"/>
              </w:tabs>
              <w:ind w:left="360"/>
              <w:rPr>
                <w:rFonts w:ascii="Tahoma" w:hAnsi="Tahoma" w:cs="Tahoma"/>
                <w:sz w:val="24"/>
              </w:rPr>
            </w:pPr>
            <w:r w:rsidRPr="002C7055">
              <w:rPr>
                <w:rFonts w:ascii="Tahoma" w:hAnsi="Tahoma" w:cs="Tahoma"/>
                <w:sz w:val="24"/>
              </w:rPr>
              <w:t>4208 Šenčur</w:t>
            </w:r>
          </w:p>
          <w:p w:rsidR="00760C5A" w:rsidRPr="002C7055" w:rsidRDefault="00760C5A" w:rsidP="003D1CB1">
            <w:pPr>
              <w:tabs>
                <w:tab w:val="center" w:pos="4536"/>
                <w:tab w:val="right" w:pos="9072"/>
              </w:tabs>
              <w:ind w:left="360"/>
              <w:rPr>
                <w:rFonts w:ascii="Tahoma" w:hAnsi="Tahoma" w:cs="Tahoma"/>
                <w:sz w:val="24"/>
              </w:rPr>
            </w:pPr>
            <w:r w:rsidRPr="002C7055">
              <w:rPr>
                <w:rFonts w:ascii="Tahoma" w:hAnsi="Tahoma" w:cs="Tahoma"/>
                <w:sz w:val="24"/>
              </w:rPr>
              <w:t xml:space="preserve">tel. 04 - 2519 100  </w:t>
            </w:r>
            <w:proofErr w:type="spellStart"/>
            <w:r w:rsidRPr="002C7055">
              <w:rPr>
                <w:rFonts w:ascii="Tahoma" w:hAnsi="Tahoma" w:cs="Tahoma"/>
                <w:sz w:val="24"/>
              </w:rPr>
              <w:t>fax</w:t>
            </w:r>
            <w:proofErr w:type="spellEnd"/>
            <w:r w:rsidRPr="002C7055">
              <w:rPr>
                <w:rFonts w:ascii="Tahoma" w:hAnsi="Tahoma" w:cs="Tahoma"/>
                <w:sz w:val="24"/>
              </w:rPr>
              <w:t>. 2519 111</w:t>
            </w:r>
          </w:p>
          <w:p w:rsidR="00760C5A" w:rsidRPr="002C7055" w:rsidRDefault="00760C5A" w:rsidP="003D1CB1">
            <w:pPr>
              <w:tabs>
                <w:tab w:val="center" w:pos="4536"/>
                <w:tab w:val="right" w:pos="9072"/>
              </w:tabs>
              <w:ind w:left="360"/>
              <w:rPr>
                <w:rFonts w:ascii="Tahoma" w:hAnsi="Tahoma" w:cs="Tahoma"/>
                <w:sz w:val="24"/>
              </w:rPr>
            </w:pPr>
            <w:proofErr w:type="spellStart"/>
            <w:r w:rsidRPr="002C7055">
              <w:rPr>
                <w:rFonts w:ascii="Tahoma" w:hAnsi="Tahoma" w:cs="Tahoma"/>
                <w:sz w:val="24"/>
              </w:rPr>
              <w:t>e-mail:obcina@sencur.si</w:t>
            </w:r>
            <w:proofErr w:type="spellEnd"/>
          </w:p>
          <w:p w:rsidR="00760C5A" w:rsidRPr="002C7055" w:rsidRDefault="00760C5A" w:rsidP="003D1CB1">
            <w:pPr>
              <w:tabs>
                <w:tab w:val="center" w:pos="4536"/>
                <w:tab w:val="right" w:pos="9072"/>
              </w:tabs>
              <w:ind w:left="360"/>
              <w:rPr>
                <w:rFonts w:ascii="Tahoma" w:hAnsi="Tahoma" w:cs="Tahoma"/>
                <w:sz w:val="24"/>
              </w:rPr>
            </w:pPr>
            <w:hyperlink r:id="rId8" w:history="1">
              <w:r w:rsidRPr="002C7055">
                <w:rPr>
                  <w:rFonts w:ascii="Tahoma" w:hAnsi="Tahoma" w:cs="Tahoma"/>
                  <w:sz w:val="24"/>
                  <w:u w:val="single"/>
                </w:rPr>
                <w:t>url:www.sencur.si</w:t>
              </w:r>
            </w:hyperlink>
          </w:p>
        </w:tc>
      </w:tr>
    </w:tbl>
    <w:p w:rsidR="009A1884" w:rsidRPr="00CF1766" w:rsidRDefault="009A1884" w:rsidP="00A3183A">
      <w:pPr>
        <w:autoSpaceDE w:val="0"/>
        <w:autoSpaceDN w:val="0"/>
        <w:adjustRightInd w:val="0"/>
        <w:rPr>
          <w:rFonts w:cs="Arial"/>
          <w:b/>
          <w:sz w:val="20"/>
          <w:szCs w:val="20"/>
        </w:rPr>
      </w:pPr>
    </w:p>
    <w:p w:rsidR="008B0EBD" w:rsidRPr="00665004" w:rsidRDefault="008B0EBD" w:rsidP="008B0EBD">
      <w:pPr>
        <w:pStyle w:val="Odlok-len-tekst"/>
        <w:numPr>
          <w:ilvl w:val="0"/>
          <w:numId w:val="0"/>
        </w:numPr>
        <w:rPr>
          <w:rFonts w:ascii="Tahoma" w:hAnsi="Tahoma" w:cs="Tahoma"/>
          <w:color w:val="000000"/>
          <w:szCs w:val="24"/>
        </w:rPr>
      </w:pPr>
      <w:r w:rsidRPr="001073AE">
        <w:rPr>
          <w:rFonts w:ascii="Tahoma" w:hAnsi="Tahoma" w:cs="Tahoma"/>
          <w:szCs w:val="24"/>
        </w:rPr>
        <w:t xml:space="preserve">Številka: </w:t>
      </w:r>
      <w:r w:rsidRPr="00665004">
        <w:rPr>
          <w:rFonts w:ascii="Tahoma" w:hAnsi="Tahoma" w:cs="Tahoma"/>
          <w:color w:val="000000"/>
        </w:rPr>
        <w:t>350-5/2016-</w:t>
      </w:r>
      <w:r>
        <w:rPr>
          <w:rFonts w:ascii="Tahoma" w:hAnsi="Tahoma" w:cs="Tahoma"/>
          <w:color w:val="000000"/>
        </w:rPr>
        <w:t>2</w:t>
      </w:r>
    </w:p>
    <w:p w:rsidR="009A1884" w:rsidRPr="00CF1766" w:rsidRDefault="008B0EBD" w:rsidP="008B0EBD">
      <w:pPr>
        <w:autoSpaceDE w:val="0"/>
        <w:autoSpaceDN w:val="0"/>
        <w:adjustRightInd w:val="0"/>
        <w:rPr>
          <w:rFonts w:cs="Arial"/>
          <w:b/>
          <w:sz w:val="20"/>
          <w:szCs w:val="20"/>
        </w:rPr>
      </w:pPr>
      <w:r w:rsidRPr="001073AE">
        <w:rPr>
          <w:rFonts w:ascii="Tahoma" w:hAnsi="Tahoma" w:cs="Tahoma"/>
        </w:rPr>
        <w:t xml:space="preserve">Šenčur, dne </w:t>
      </w:r>
      <w:r>
        <w:rPr>
          <w:rFonts w:ascii="Tahoma" w:hAnsi="Tahoma" w:cs="Tahoma"/>
        </w:rPr>
        <w:t>12.9</w:t>
      </w:r>
      <w:bookmarkStart w:id="0" w:name="_GoBack"/>
      <w:bookmarkEnd w:id="0"/>
      <w:r w:rsidRPr="001073AE">
        <w:rPr>
          <w:rFonts w:ascii="Tahoma" w:hAnsi="Tahoma" w:cs="Tahoma"/>
        </w:rPr>
        <w:t>.2016</w:t>
      </w:r>
    </w:p>
    <w:p w:rsidR="009A1884" w:rsidRPr="00CF1766" w:rsidRDefault="009A1884" w:rsidP="00A3183A">
      <w:pPr>
        <w:autoSpaceDE w:val="0"/>
        <w:autoSpaceDN w:val="0"/>
        <w:adjustRightInd w:val="0"/>
        <w:rPr>
          <w:rFonts w:cs="Arial"/>
          <w:b/>
          <w:sz w:val="20"/>
          <w:szCs w:val="20"/>
        </w:rPr>
      </w:pPr>
    </w:p>
    <w:p w:rsidR="009A1884" w:rsidRPr="00CF1766" w:rsidRDefault="009A1884" w:rsidP="00A3183A">
      <w:pPr>
        <w:autoSpaceDE w:val="0"/>
        <w:autoSpaceDN w:val="0"/>
        <w:adjustRightInd w:val="0"/>
        <w:rPr>
          <w:rFonts w:cs="Arial"/>
          <w:b/>
          <w:sz w:val="20"/>
          <w:szCs w:val="20"/>
        </w:rPr>
      </w:pPr>
    </w:p>
    <w:p w:rsidR="009A1884" w:rsidRPr="00CF1766" w:rsidRDefault="009A1884" w:rsidP="00E07A67">
      <w:pPr>
        <w:autoSpaceDE w:val="0"/>
        <w:autoSpaceDN w:val="0"/>
        <w:adjustRightInd w:val="0"/>
        <w:jc w:val="left"/>
        <w:outlineLvl w:val="0"/>
        <w:rPr>
          <w:rFonts w:cs="Arial"/>
          <w:b/>
          <w:sz w:val="20"/>
          <w:szCs w:val="20"/>
        </w:rPr>
      </w:pPr>
      <w:r w:rsidRPr="00CF1766">
        <w:rPr>
          <w:rFonts w:cs="Arial"/>
          <w:b/>
          <w:sz w:val="20"/>
          <w:szCs w:val="20"/>
        </w:rPr>
        <w:t>ZADEVA:</w:t>
      </w:r>
      <w:r w:rsidR="008B0EBD">
        <w:rPr>
          <w:rFonts w:cs="Arial"/>
          <w:b/>
          <w:sz w:val="20"/>
          <w:szCs w:val="20"/>
        </w:rPr>
        <w:t xml:space="preserve"> </w:t>
      </w:r>
      <w:r w:rsidRPr="00CF1766">
        <w:rPr>
          <w:rFonts w:cs="Arial"/>
          <w:b/>
          <w:sz w:val="20"/>
          <w:szCs w:val="20"/>
        </w:rPr>
        <w:t xml:space="preserve">ODLOK O OBČINSKEM PODROBNEM </w:t>
      </w:r>
      <w:r w:rsidR="00E07A67" w:rsidRPr="00CF1766">
        <w:rPr>
          <w:rFonts w:cs="Arial"/>
          <w:b/>
          <w:sz w:val="20"/>
          <w:szCs w:val="20"/>
        </w:rPr>
        <w:t xml:space="preserve">PROSTORSKEM NAČRTU ŠE-33 </w:t>
      </w:r>
      <w:proofErr w:type="spellStart"/>
      <w:r w:rsidR="00E07A67" w:rsidRPr="00CF1766">
        <w:rPr>
          <w:rFonts w:cs="Arial"/>
          <w:b/>
          <w:sz w:val="20"/>
          <w:szCs w:val="20"/>
        </w:rPr>
        <w:t>SSe</w:t>
      </w:r>
      <w:proofErr w:type="spellEnd"/>
      <w:r w:rsidR="00E07A67" w:rsidRPr="00CF1766">
        <w:rPr>
          <w:rFonts w:cs="Arial"/>
          <w:b/>
          <w:sz w:val="20"/>
          <w:szCs w:val="20"/>
        </w:rPr>
        <w:t xml:space="preserve"> v Občini Šenčur, usklajen predlog (</w:t>
      </w:r>
      <w:r w:rsidR="008B0EBD">
        <w:rPr>
          <w:rFonts w:cs="Arial"/>
          <w:b/>
          <w:sz w:val="20"/>
          <w:szCs w:val="20"/>
        </w:rPr>
        <w:t>druga obravnava)</w:t>
      </w:r>
    </w:p>
    <w:p w:rsidR="009A1884" w:rsidRPr="00CF1766" w:rsidRDefault="009A1884" w:rsidP="00BE6F66">
      <w:pPr>
        <w:autoSpaceDE w:val="0"/>
        <w:autoSpaceDN w:val="0"/>
        <w:adjustRightInd w:val="0"/>
        <w:ind w:left="708"/>
        <w:jc w:val="left"/>
        <w:rPr>
          <w:rFonts w:cs="Arial"/>
          <w:b/>
          <w:sz w:val="20"/>
          <w:szCs w:val="20"/>
        </w:rPr>
      </w:pPr>
    </w:p>
    <w:p w:rsidR="009A1884" w:rsidRPr="00CF1766" w:rsidRDefault="009A1884" w:rsidP="00BE6F66">
      <w:pPr>
        <w:autoSpaceDE w:val="0"/>
        <w:autoSpaceDN w:val="0"/>
        <w:adjustRightInd w:val="0"/>
        <w:ind w:left="708"/>
        <w:jc w:val="left"/>
        <w:rPr>
          <w:rFonts w:cs="Arial"/>
          <w:b/>
          <w:sz w:val="20"/>
          <w:szCs w:val="20"/>
        </w:rPr>
      </w:pPr>
    </w:p>
    <w:p w:rsidR="009A1884" w:rsidRPr="00CF1766" w:rsidRDefault="009A1884" w:rsidP="00E10D22">
      <w:pPr>
        <w:autoSpaceDE w:val="0"/>
        <w:autoSpaceDN w:val="0"/>
        <w:adjustRightInd w:val="0"/>
        <w:outlineLvl w:val="0"/>
        <w:rPr>
          <w:rFonts w:cs="Arial"/>
          <w:b/>
          <w:i/>
          <w:sz w:val="20"/>
          <w:szCs w:val="20"/>
          <w:u w:val="single"/>
        </w:rPr>
      </w:pPr>
      <w:r w:rsidRPr="00CF1766">
        <w:rPr>
          <w:rFonts w:cs="Arial"/>
          <w:b/>
          <w:i/>
          <w:sz w:val="20"/>
          <w:szCs w:val="20"/>
          <w:u w:val="single"/>
        </w:rPr>
        <w:t>ZAKONSKA PODLAGA:</w:t>
      </w:r>
    </w:p>
    <w:p w:rsidR="009A1884" w:rsidRPr="00CF1766" w:rsidRDefault="009A1884" w:rsidP="00334120">
      <w:pPr>
        <w:rPr>
          <w:rFonts w:cs="Arial"/>
          <w:sz w:val="20"/>
          <w:szCs w:val="20"/>
        </w:rPr>
      </w:pPr>
      <w:r w:rsidRPr="00CF1766">
        <w:rPr>
          <w:rFonts w:cs="Arial"/>
          <w:sz w:val="20"/>
          <w:szCs w:val="20"/>
        </w:rPr>
        <w:t>- Zakon o prostorskem načrtovanju,</w:t>
      </w:r>
    </w:p>
    <w:p w:rsidR="009A1884" w:rsidRPr="00CF1766" w:rsidRDefault="009A1884" w:rsidP="00334120">
      <w:pPr>
        <w:rPr>
          <w:rFonts w:cs="Arial"/>
          <w:sz w:val="20"/>
          <w:szCs w:val="20"/>
        </w:rPr>
      </w:pPr>
      <w:r w:rsidRPr="00CF1766">
        <w:rPr>
          <w:rFonts w:cs="Arial"/>
          <w:sz w:val="20"/>
          <w:szCs w:val="20"/>
        </w:rPr>
        <w:t>- OPN občine Šenčur,</w:t>
      </w:r>
    </w:p>
    <w:p w:rsidR="009A1884" w:rsidRPr="00CF1766" w:rsidRDefault="009A1884" w:rsidP="00334120">
      <w:pPr>
        <w:rPr>
          <w:rFonts w:cs="Arial"/>
          <w:sz w:val="20"/>
          <w:szCs w:val="20"/>
        </w:rPr>
      </w:pPr>
      <w:r w:rsidRPr="00CF1766">
        <w:rPr>
          <w:rFonts w:cs="Arial"/>
          <w:sz w:val="20"/>
          <w:szCs w:val="20"/>
        </w:rPr>
        <w:t>- Sklep o pričetku priprave OPPN,</w:t>
      </w:r>
    </w:p>
    <w:p w:rsidR="009A1884" w:rsidRPr="00CF1766" w:rsidRDefault="009A1884" w:rsidP="00334120">
      <w:pPr>
        <w:rPr>
          <w:rFonts w:cs="Arial"/>
          <w:sz w:val="20"/>
          <w:szCs w:val="20"/>
        </w:rPr>
      </w:pPr>
    </w:p>
    <w:p w:rsidR="009A1884" w:rsidRPr="00CF1766" w:rsidRDefault="009A1884" w:rsidP="00E10D22">
      <w:pPr>
        <w:outlineLvl w:val="0"/>
        <w:rPr>
          <w:b/>
          <w:i/>
          <w:sz w:val="20"/>
          <w:szCs w:val="20"/>
          <w:u w:val="single"/>
        </w:rPr>
      </w:pPr>
      <w:r w:rsidRPr="00CF1766">
        <w:rPr>
          <w:b/>
          <w:i/>
          <w:sz w:val="20"/>
          <w:szCs w:val="20"/>
          <w:u w:val="single"/>
        </w:rPr>
        <w:t>IZHODIŠČA ZA PRIPRAVO:</w:t>
      </w:r>
    </w:p>
    <w:p w:rsidR="00E07A67" w:rsidRPr="00CF1766" w:rsidRDefault="00E07A67" w:rsidP="00E07A67">
      <w:pPr>
        <w:autoSpaceDE w:val="0"/>
        <w:autoSpaceDN w:val="0"/>
        <w:adjustRightInd w:val="0"/>
        <w:rPr>
          <w:sz w:val="20"/>
          <w:szCs w:val="20"/>
        </w:rPr>
      </w:pPr>
      <w:r w:rsidRPr="00CF1766">
        <w:rPr>
          <w:sz w:val="20"/>
          <w:szCs w:val="20"/>
        </w:rPr>
        <w:t>V občinskem prostorskem načrtu Občine Šenčur (OPN) se obravnavano območje ureja s predpisanim podrobnim prostorskim aktom. V sredini območja urejanja so ostale večje površine nezazidanih stavbnih zemljišč, ki jih obkroža prevladujoča individualna prostostoječa stanovanjska pozidava z obodnimi lokalnimi ulicami.</w:t>
      </w:r>
    </w:p>
    <w:p w:rsidR="00E07A67" w:rsidRPr="00CF1766" w:rsidRDefault="00E07A67" w:rsidP="00E07A67">
      <w:pPr>
        <w:autoSpaceDE w:val="0"/>
        <w:autoSpaceDN w:val="0"/>
        <w:adjustRightInd w:val="0"/>
        <w:rPr>
          <w:sz w:val="20"/>
          <w:szCs w:val="20"/>
        </w:rPr>
      </w:pPr>
      <w:r w:rsidRPr="00CF1766">
        <w:rPr>
          <w:sz w:val="20"/>
          <w:szCs w:val="20"/>
        </w:rPr>
        <w:t>Predmet urejanja je urbanistično – arhitektonska zasnova osrednjega nezazidanega prostora z navezavo komunalne infrastrukture na obstoječe obodno omrežje.</w:t>
      </w:r>
    </w:p>
    <w:p w:rsidR="00E07A67" w:rsidRPr="00CF1766" w:rsidRDefault="00E07A67" w:rsidP="00E07A67">
      <w:pPr>
        <w:autoSpaceDE w:val="0"/>
        <w:autoSpaceDN w:val="0"/>
        <w:adjustRightInd w:val="0"/>
        <w:rPr>
          <w:sz w:val="20"/>
          <w:szCs w:val="20"/>
        </w:rPr>
      </w:pPr>
      <w:r w:rsidRPr="00CF1766">
        <w:rPr>
          <w:sz w:val="20"/>
          <w:szCs w:val="20"/>
        </w:rPr>
        <w:t>Pobudo za izdelavo OPPN so podali zasebni investitorji in Občina Šenčur.</w:t>
      </w:r>
    </w:p>
    <w:p w:rsidR="009A1884" w:rsidRPr="00CF1766" w:rsidRDefault="009A1884" w:rsidP="0056236A">
      <w:pPr>
        <w:rPr>
          <w:b/>
          <w:i/>
          <w:sz w:val="20"/>
          <w:szCs w:val="20"/>
        </w:rPr>
      </w:pPr>
    </w:p>
    <w:p w:rsidR="009A1884" w:rsidRPr="00CF1766" w:rsidRDefault="009A1884" w:rsidP="00E10D22">
      <w:pPr>
        <w:outlineLvl w:val="0"/>
        <w:rPr>
          <w:b/>
          <w:i/>
          <w:sz w:val="20"/>
          <w:szCs w:val="20"/>
          <w:u w:val="single"/>
        </w:rPr>
      </w:pPr>
      <w:r w:rsidRPr="00CF1766">
        <w:rPr>
          <w:b/>
          <w:i/>
          <w:sz w:val="20"/>
          <w:szCs w:val="20"/>
          <w:u w:val="single"/>
        </w:rPr>
        <w:t>OBMOČJE OPPN:</w:t>
      </w:r>
    </w:p>
    <w:p w:rsidR="00E07A67" w:rsidRPr="00CF1766" w:rsidRDefault="00E07A67" w:rsidP="00E07A67">
      <w:pPr>
        <w:autoSpaceDE w:val="0"/>
        <w:autoSpaceDN w:val="0"/>
        <w:adjustRightInd w:val="0"/>
        <w:rPr>
          <w:sz w:val="20"/>
          <w:szCs w:val="20"/>
        </w:rPr>
      </w:pPr>
      <w:r w:rsidRPr="00CF1766">
        <w:rPr>
          <w:sz w:val="20"/>
          <w:szCs w:val="20"/>
        </w:rPr>
        <w:t xml:space="preserve">Območje OPPN obsega celotno enoto urejanja ŠE-33 </w:t>
      </w:r>
      <w:proofErr w:type="spellStart"/>
      <w:r w:rsidRPr="00CF1766">
        <w:rPr>
          <w:sz w:val="20"/>
          <w:szCs w:val="20"/>
        </w:rPr>
        <w:t>SSe</w:t>
      </w:r>
      <w:proofErr w:type="spellEnd"/>
      <w:r w:rsidRPr="00CF1766">
        <w:rPr>
          <w:sz w:val="20"/>
          <w:szCs w:val="20"/>
        </w:rPr>
        <w:t xml:space="preserve">, z okvirno površino </w:t>
      </w:r>
      <w:smartTag w:uri="urn:schemas-microsoft-com:office:smarttags" w:element="metricconverter">
        <w:smartTagPr>
          <w:attr w:name="ProductID" w:val="6,2 ha"/>
        </w:smartTagPr>
        <w:r w:rsidRPr="00CF1766">
          <w:rPr>
            <w:sz w:val="20"/>
            <w:szCs w:val="20"/>
          </w:rPr>
          <w:t>6,2 ha</w:t>
        </w:r>
      </w:smartTag>
      <w:r w:rsidRPr="00CF1766">
        <w:rPr>
          <w:sz w:val="20"/>
          <w:szCs w:val="20"/>
        </w:rPr>
        <w:t>. Nezazidan del tega območja obsega naslednja zemljišča (Ureditvena enota 1), za katera se predpisuje OPPN. Za preostali del območja (Ureditvena enota 2) se predvidi urejanje skladno s splošnimi in podrobnimi prostorsko izvedbenimi pogoji za določeno podrobnejšo namensko rabo enote urejanja prostora (</w:t>
      </w:r>
      <w:proofErr w:type="spellStart"/>
      <w:r w:rsidRPr="00CF1766">
        <w:rPr>
          <w:sz w:val="20"/>
          <w:szCs w:val="20"/>
        </w:rPr>
        <w:t>SSe</w:t>
      </w:r>
      <w:proofErr w:type="spellEnd"/>
      <w:r w:rsidRPr="00CF1766">
        <w:rPr>
          <w:sz w:val="20"/>
          <w:szCs w:val="20"/>
        </w:rPr>
        <w:t>) izvedbenega dela OPN in ob pridobiti soglasj</w:t>
      </w:r>
      <w:r w:rsidR="00545EEE" w:rsidRPr="00CF1766">
        <w:rPr>
          <w:sz w:val="20"/>
          <w:szCs w:val="20"/>
        </w:rPr>
        <w:t>a</w:t>
      </w:r>
      <w:r w:rsidRPr="00CF1766">
        <w:rPr>
          <w:sz w:val="20"/>
          <w:szCs w:val="20"/>
        </w:rPr>
        <w:t xml:space="preserve"> občinske službe pristojne za urejanje prostora.</w:t>
      </w:r>
    </w:p>
    <w:p w:rsidR="009A1884" w:rsidRPr="00CF1766" w:rsidRDefault="009A1884" w:rsidP="00FC6BF5">
      <w:pPr>
        <w:rPr>
          <w:b/>
          <w:i/>
          <w:sz w:val="20"/>
          <w:szCs w:val="20"/>
        </w:rPr>
      </w:pPr>
    </w:p>
    <w:p w:rsidR="009A1884" w:rsidRPr="00CF1766" w:rsidRDefault="009A1884" w:rsidP="00E10D22">
      <w:pPr>
        <w:outlineLvl w:val="0"/>
        <w:rPr>
          <w:b/>
          <w:i/>
          <w:sz w:val="20"/>
          <w:szCs w:val="20"/>
          <w:u w:val="single"/>
        </w:rPr>
      </w:pPr>
      <w:r w:rsidRPr="00CF1766">
        <w:rPr>
          <w:b/>
          <w:i/>
          <w:sz w:val="20"/>
          <w:szCs w:val="20"/>
          <w:u w:val="single"/>
        </w:rPr>
        <w:t>POSTOPEK PRIPRAVE:</w:t>
      </w:r>
    </w:p>
    <w:p w:rsidR="003F5A17" w:rsidRPr="00CF1766" w:rsidRDefault="003F5A17" w:rsidP="003F5A17">
      <w:pPr>
        <w:autoSpaceDE w:val="0"/>
        <w:autoSpaceDN w:val="0"/>
        <w:adjustRightInd w:val="0"/>
        <w:rPr>
          <w:rFonts w:cs="Arial"/>
          <w:sz w:val="20"/>
          <w:szCs w:val="20"/>
        </w:rPr>
      </w:pPr>
      <w:r w:rsidRPr="00CF1766">
        <w:rPr>
          <w:rFonts w:cs="Arial"/>
          <w:sz w:val="20"/>
          <w:szCs w:val="20"/>
        </w:rPr>
        <w:t xml:space="preserve">Postopek priprave prostorskega akta se je začel s Sklepom o začetku priprave </w:t>
      </w:r>
      <w:r w:rsidR="00545EEE" w:rsidRPr="00CF1766">
        <w:rPr>
          <w:rFonts w:cs="Arial"/>
          <w:sz w:val="20"/>
          <w:szCs w:val="20"/>
        </w:rPr>
        <w:t>OPPN</w:t>
      </w:r>
      <w:r w:rsidRPr="00CF1766">
        <w:rPr>
          <w:rFonts w:cs="Arial"/>
          <w:sz w:val="20"/>
          <w:szCs w:val="20"/>
        </w:rPr>
        <w:t xml:space="preserve"> za ureditveno območje ŠE-33 </w:t>
      </w:r>
      <w:proofErr w:type="spellStart"/>
      <w:r w:rsidRPr="00CF1766">
        <w:rPr>
          <w:rFonts w:cs="Arial"/>
          <w:sz w:val="20"/>
          <w:szCs w:val="20"/>
        </w:rPr>
        <w:t>SSe</w:t>
      </w:r>
      <w:proofErr w:type="spellEnd"/>
      <w:r w:rsidRPr="00CF1766">
        <w:rPr>
          <w:rFonts w:cs="Arial"/>
          <w:sz w:val="20"/>
          <w:szCs w:val="20"/>
        </w:rPr>
        <w:t>, ki ga je sprejel župan 10.07.2012 in je bil dne 12.07.201</w:t>
      </w:r>
      <w:r w:rsidR="00A94095">
        <w:rPr>
          <w:rFonts w:cs="Arial"/>
          <w:sz w:val="20"/>
          <w:szCs w:val="20"/>
        </w:rPr>
        <w:t>2</w:t>
      </w:r>
      <w:r w:rsidRPr="00CF1766">
        <w:rPr>
          <w:rFonts w:cs="Arial"/>
          <w:sz w:val="20"/>
          <w:szCs w:val="20"/>
        </w:rPr>
        <w:t xml:space="preserve"> objavljen v Uradnem glasilu slovenskih občin št. 22/12.</w:t>
      </w:r>
    </w:p>
    <w:p w:rsidR="00EC5E4F" w:rsidRPr="00CF1766" w:rsidRDefault="003F5A17" w:rsidP="00545EEE">
      <w:pPr>
        <w:autoSpaceDE w:val="0"/>
        <w:autoSpaceDN w:val="0"/>
        <w:adjustRightInd w:val="0"/>
        <w:rPr>
          <w:rFonts w:cs="Arial"/>
          <w:sz w:val="20"/>
          <w:szCs w:val="20"/>
        </w:rPr>
      </w:pPr>
      <w:r w:rsidRPr="00CF1766">
        <w:rPr>
          <w:rFonts w:cs="Arial"/>
          <w:sz w:val="20"/>
          <w:szCs w:val="20"/>
        </w:rPr>
        <w:t xml:space="preserve">V skladu s Sklepom o pričetku postopka so bili dne 22.01.2013 in 28.05.2013 k posredovanju smernic pozvani </w:t>
      </w:r>
      <w:r w:rsidR="00545EEE" w:rsidRPr="00CF1766">
        <w:rPr>
          <w:rFonts w:cs="Arial"/>
          <w:sz w:val="20"/>
          <w:szCs w:val="20"/>
        </w:rPr>
        <w:t xml:space="preserve">pristojni nosilci urejanja prostora. </w:t>
      </w:r>
      <w:r w:rsidRPr="00CF1766">
        <w:rPr>
          <w:rFonts w:cs="Arial"/>
          <w:sz w:val="20"/>
          <w:szCs w:val="20"/>
        </w:rPr>
        <w:t xml:space="preserve">Smernice so razen TELE – TV komunikacijski engineering d.o.o. podali vsi nosilci urejanja prostora in nosilec javnih pooblastil. Pridobljene smernice so bile pri izdelavi strokovnih podlag in dopolnjenega osnutka OPPN smiselno upoštevane. </w:t>
      </w:r>
    </w:p>
    <w:p w:rsidR="00534FD6" w:rsidRPr="00CF1766" w:rsidRDefault="003F5A17" w:rsidP="00534FD6">
      <w:pPr>
        <w:pStyle w:val="Navadensplet"/>
        <w:spacing w:before="0" w:beforeAutospacing="0" w:after="0" w:afterAutospacing="0"/>
        <w:jc w:val="both"/>
        <w:rPr>
          <w:rFonts w:ascii="Arial" w:hAnsi="Arial" w:cs="Arial"/>
          <w:sz w:val="20"/>
          <w:szCs w:val="20"/>
        </w:rPr>
      </w:pPr>
      <w:r w:rsidRPr="00CF1766">
        <w:rPr>
          <w:rFonts w:ascii="Arial" w:hAnsi="Arial" w:cs="Arial"/>
          <w:sz w:val="20"/>
          <w:szCs w:val="20"/>
        </w:rPr>
        <w:t>Dopolnjen osnutek je bil izdelan maja 2013.</w:t>
      </w:r>
    </w:p>
    <w:p w:rsidR="003F5A17" w:rsidRPr="00CF1766" w:rsidRDefault="003F5A17" w:rsidP="00534FD6">
      <w:pPr>
        <w:pStyle w:val="Navadensplet"/>
        <w:spacing w:before="0" w:beforeAutospacing="0" w:after="0" w:afterAutospacing="0"/>
        <w:jc w:val="both"/>
        <w:rPr>
          <w:rFonts w:ascii="Arial" w:hAnsi="Arial" w:cs="Arial"/>
          <w:sz w:val="20"/>
          <w:szCs w:val="20"/>
        </w:rPr>
      </w:pPr>
      <w:r w:rsidRPr="00CF1766">
        <w:rPr>
          <w:rFonts w:ascii="Arial" w:hAnsi="Arial" w:cs="Arial"/>
          <w:sz w:val="20"/>
          <w:szCs w:val="20"/>
        </w:rPr>
        <w:t>Prva javna razgrnitev je potekala od 22.7.2013 do 26.8.2013 v prostorih Občine Šenčur. Javna obravnava je bila izvedena dne 21.8.2013, ob 15.00 uri, v prostorih Občine Šenčur, Kranjska cesta 11, 4208 Šenčur. Na podlagi pripomb in potrditve stališč do pripomb se je pripravil nov dopolnjen osnutek in izvedla nova javna razgrnitev dopolnjenega osnutka, ki je potekala od 21.03.2016 do 22.04.2016. Javna obravnava je bila izvedena dne 06.04.2016, ob 16.00 uri, v prostorih Občine Šenčur, Kranjska cesta 11, 4208 Šenčur. Pripomb ob ponovni javni razgrnitvi ni bilo tako, da je bil v maju 2016 pripravljen predlog OPPN. Prav tako je v mesecu maju 2016 Občina Šenčur zaprosila pristojne upravljavce prostora za mnenje k predlogu OPPN.</w:t>
      </w:r>
    </w:p>
    <w:p w:rsidR="003F5A17" w:rsidRPr="00CF1766" w:rsidRDefault="003F5A17" w:rsidP="003F5A17">
      <w:pPr>
        <w:rPr>
          <w:rFonts w:cs="Arial"/>
          <w:sz w:val="20"/>
          <w:szCs w:val="20"/>
        </w:rPr>
      </w:pPr>
      <w:r w:rsidRPr="00CF1766">
        <w:rPr>
          <w:rFonts w:cs="Arial"/>
          <w:sz w:val="20"/>
          <w:szCs w:val="20"/>
        </w:rPr>
        <w:t>K predlogu so bila od maja do avgusta podana pozitivna mnenja dvanajst nosilcev urejanja prostora, TELE-TV komunikacijski engineering d.o.o. pa do poteka zakonskega roka (30 dni) oz. do konca avgusta 2016 mnenja ni podal.</w:t>
      </w:r>
    </w:p>
    <w:p w:rsidR="003F5A17" w:rsidRPr="00CF1766" w:rsidRDefault="003F5A17" w:rsidP="003F5A17">
      <w:pPr>
        <w:rPr>
          <w:rFonts w:cs="Arial"/>
          <w:sz w:val="20"/>
          <w:szCs w:val="20"/>
        </w:rPr>
      </w:pPr>
      <w:r w:rsidRPr="00CF1766">
        <w:rPr>
          <w:rFonts w:cs="Arial"/>
          <w:sz w:val="20"/>
          <w:szCs w:val="20"/>
        </w:rPr>
        <w:t xml:space="preserve">Po poteku zakonskega roka (dne 10.06.2016) je bil skladno s 61. členom postopek nadaljevan in avgusta 2016 pripravljen usklajen predlog OPPN, ki </w:t>
      </w:r>
      <w:r w:rsidR="00545EEE" w:rsidRPr="00CF1766">
        <w:rPr>
          <w:rFonts w:cs="Arial"/>
          <w:sz w:val="20"/>
          <w:szCs w:val="20"/>
        </w:rPr>
        <w:t>bo</w:t>
      </w:r>
      <w:r w:rsidRPr="00CF1766">
        <w:rPr>
          <w:rFonts w:cs="Arial"/>
          <w:sz w:val="20"/>
          <w:szCs w:val="20"/>
        </w:rPr>
        <w:t xml:space="preserve"> </w:t>
      </w:r>
      <w:r w:rsidR="00545EEE" w:rsidRPr="00CF1766">
        <w:rPr>
          <w:rFonts w:cs="Arial"/>
          <w:sz w:val="20"/>
          <w:szCs w:val="20"/>
        </w:rPr>
        <w:t xml:space="preserve">podan v obravnavo </w:t>
      </w:r>
      <w:r w:rsidRPr="00CF1766">
        <w:rPr>
          <w:rFonts w:cs="Arial"/>
          <w:sz w:val="20"/>
          <w:szCs w:val="20"/>
        </w:rPr>
        <w:t>na občinski svet.</w:t>
      </w:r>
    </w:p>
    <w:p w:rsidR="009A1884" w:rsidRDefault="009A1884" w:rsidP="00E10D22">
      <w:pPr>
        <w:autoSpaceDE w:val="0"/>
        <w:autoSpaceDN w:val="0"/>
        <w:adjustRightInd w:val="0"/>
        <w:outlineLvl w:val="0"/>
        <w:rPr>
          <w:rFonts w:cs="Arial"/>
          <w:b/>
          <w:i/>
          <w:sz w:val="20"/>
          <w:szCs w:val="20"/>
          <w:u w:val="single"/>
        </w:rPr>
      </w:pPr>
    </w:p>
    <w:p w:rsidR="00CF1766" w:rsidRPr="00CF1766" w:rsidRDefault="00CF1766" w:rsidP="00E10D22">
      <w:pPr>
        <w:autoSpaceDE w:val="0"/>
        <w:autoSpaceDN w:val="0"/>
        <w:adjustRightInd w:val="0"/>
        <w:outlineLvl w:val="0"/>
        <w:rPr>
          <w:rFonts w:cs="Arial"/>
          <w:b/>
          <w:i/>
          <w:sz w:val="20"/>
          <w:szCs w:val="20"/>
          <w:u w:val="single"/>
        </w:rPr>
      </w:pPr>
    </w:p>
    <w:p w:rsidR="009A1884" w:rsidRPr="00CF1766" w:rsidRDefault="009A1884" w:rsidP="00E10D22">
      <w:pPr>
        <w:autoSpaceDE w:val="0"/>
        <w:autoSpaceDN w:val="0"/>
        <w:adjustRightInd w:val="0"/>
        <w:outlineLvl w:val="0"/>
        <w:rPr>
          <w:rFonts w:cs="Arial"/>
          <w:b/>
          <w:i/>
          <w:sz w:val="20"/>
          <w:szCs w:val="20"/>
          <w:u w:val="single"/>
        </w:rPr>
      </w:pPr>
      <w:r w:rsidRPr="00CF1766">
        <w:rPr>
          <w:rFonts w:cs="Arial"/>
          <w:b/>
          <w:i/>
          <w:sz w:val="20"/>
          <w:szCs w:val="20"/>
          <w:u w:val="single"/>
        </w:rPr>
        <w:lastRenderedPageBreak/>
        <w:t>O</w:t>
      </w:r>
      <w:r w:rsidR="00534FD6" w:rsidRPr="00CF1766">
        <w:rPr>
          <w:rFonts w:cs="Arial"/>
          <w:b/>
          <w:i/>
          <w:sz w:val="20"/>
          <w:szCs w:val="20"/>
          <w:u w:val="single"/>
        </w:rPr>
        <w:t>BRAZLOŽITEV PROSTORSKE UREDITVE:</w:t>
      </w:r>
    </w:p>
    <w:p w:rsidR="00534FD6" w:rsidRPr="00CF1766" w:rsidRDefault="00534FD6" w:rsidP="00534FD6">
      <w:pPr>
        <w:rPr>
          <w:sz w:val="20"/>
          <w:szCs w:val="20"/>
        </w:rPr>
      </w:pPr>
      <w:r w:rsidRPr="00CF1766">
        <w:rPr>
          <w:sz w:val="20"/>
          <w:szCs w:val="20"/>
        </w:rPr>
        <w:t>Znotraj območja urejanja bo na nezazidanem delu predvidenih trinajst stanovanjskih objektov, ureja pa se tudi komunalno prometna ureditev celotnega območja OPPN.</w:t>
      </w:r>
    </w:p>
    <w:p w:rsidR="00534FD6" w:rsidRPr="00CF1766" w:rsidRDefault="00534FD6" w:rsidP="00534FD6">
      <w:pPr>
        <w:rPr>
          <w:sz w:val="20"/>
          <w:szCs w:val="20"/>
        </w:rPr>
      </w:pPr>
      <w:r w:rsidRPr="00CF1766">
        <w:rPr>
          <w:sz w:val="20"/>
          <w:szCs w:val="20"/>
        </w:rPr>
        <w:t xml:space="preserve">Dostop in dovoz do območja OPPN bo obstoječ in sicer s severne strani do lokalne ceste LZ 390391. </w:t>
      </w:r>
    </w:p>
    <w:p w:rsidR="00534FD6" w:rsidRPr="00CF1766" w:rsidRDefault="00534FD6" w:rsidP="00534FD6">
      <w:pPr>
        <w:autoSpaceDE w:val="0"/>
        <w:autoSpaceDN w:val="0"/>
        <w:adjustRightInd w:val="0"/>
        <w:rPr>
          <w:rFonts w:cs="Arial"/>
          <w:sz w:val="20"/>
          <w:szCs w:val="20"/>
        </w:rPr>
      </w:pPr>
      <w:r w:rsidRPr="00CF1766">
        <w:rPr>
          <w:rFonts w:cs="Arial"/>
          <w:sz w:val="20"/>
          <w:szCs w:val="20"/>
        </w:rPr>
        <w:t>Stanovanjski objekti:</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 xml:space="preserve">Zasnova tlorisnega gabarita stanovanjskih objektov je podolgovata, velikosti 8,50 m x 12,00 m, z razmerjem stranic minimalno 1 : 1,4. Odstopanje od tlorisnega gabarita je lahko ±20%, od upoštevanju minimalnega razmerja stranic. </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 xml:space="preserve">Oblika tlorisa je ob upoštevanju razmerja stranic lahko razgibana z arhitekturnimi poudarki, izzidki in zamiki izven fasadne linije za 1,50 m. </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 xml:space="preserve">Višinski gabarit objektov je: klet, pritličje in mansarda (K + P + M) ali klet, pritličje in nadstropje (K + P + 1N + M) brez </w:t>
      </w:r>
      <w:proofErr w:type="spellStart"/>
      <w:r w:rsidRPr="00CF1766">
        <w:rPr>
          <w:rFonts w:cs="Arial"/>
          <w:color w:val="070707"/>
          <w:sz w:val="20"/>
          <w:szCs w:val="20"/>
        </w:rPr>
        <w:t>kolenčnega</w:t>
      </w:r>
      <w:proofErr w:type="spellEnd"/>
      <w:r w:rsidRPr="00CF1766">
        <w:rPr>
          <w:rFonts w:cs="Arial"/>
          <w:color w:val="070707"/>
          <w:sz w:val="20"/>
          <w:szCs w:val="20"/>
        </w:rPr>
        <w:t xml:space="preserve"> zidu. Gabariti kleti so lahko tudi večji od gabarita nadzemnih etaž, ob pogoju da so zagotovljeni minimalni odmiki od parcelnih mej.</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Kota pritličja objektov lahko sega največ 0,30 m nad koto urejenega terena ob objektu, oziroma nad predvideno višino ceste ob uvozu na parcelo.</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Objekti so lahko klasično ali montažno grajeni.</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 xml:space="preserve">Strehe na objektih morajo biti simetrične dvokapnice s smerjo slemena vzporedno z daljšo stranico objekta in v naklonu od 38º – 45º. </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Širina napušča na stanovanjskih objektih je maksimalno 1,20 m.</w:t>
      </w:r>
    </w:p>
    <w:p w:rsidR="00534FD6" w:rsidRPr="00CF1766" w:rsidRDefault="00534FD6" w:rsidP="00534FD6">
      <w:pPr>
        <w:numPr>
          <w:ilvl w:val="0"/>
          <w:numId w:val="13"/>
        </w:numPr>
        <w:autoSpaceDE w:val="0"/>
        <w:autoSpaceDN w:val="0"/>
        <w:adjustRightInd w:val="0"/>
        <w:rPr>
          <w:rFonts w:cs="Arial"/>
          <w:sz w:val="20"/>
          <w:szCs w:val="20"/>
        </w:rPr>
      </w:pPr>
      <w:r w:rsidRPr="00CF1766">
        <w:rPr>
          <w:rFonts w:cs="Arial"/>
          <w:color w:val="070707"/>
          <w:sz w:val="20"/>
          <w:szCs w:val="20"/>
        </w:rPr>
        <w:t>Osvetlitev mansardnih prostorov pri višinskem gabaritu K + P + M je dovoljena s</w:t>
      </w:r>
      <w:r w:rsidRPr="00CF1766">
        <w:rPr>
          <w:rFonts w:cs="Arial"/>
          <w:sz w:val="20"/>
          <w:szCs w:val="20"/>
        </w:rPr>
        <w:t xml:space="preserve"> strešnimi okni, terasami in frčadami, ki ne smejo biti višje od slemena osnovne strehe in morajo biti na posamezni strehi poenoteno oblikovane. Strešine frčad se izvedejo v enakem naklonu kot osnovna strešina ali so oblikovane kot ravne frčade (minimalni naklon). Osvetlitev mansardnih prostorov pri višinskem gabaritu K + P + 1N + M je dovoljena s strešnimi okni.</w:t>
      </w:r>
    </w:p>
    <w:p w:rsidR="00534FD6" w:rsidRPr="00CF1766" w:rsidRDefault="00534FD6" w:rsidP="00534FD6">
      <w:pPr>
        <w:autoSpaceDE w:val="0"/>
        <w:autoSpaceDN w:val="0"/>
        <w:adjustRightInd w:val="0"/>
        <w:rPr>
          <w:rFonts w:cs="Arial"/>
          <w:color w:val="070707"/>
          <w:sz w:val="20"/>
          <w:szCs w:val="20"/>
        </w:rPr>
      </w:pPr>
      <w:r w:rsidRPr="00CF1766">
        <w:rPr>
          <w:rFonts w:cs="Arial"/>
          <w:color w:val="070707"/>
          <w:sz w:val="20"/>
          <w:szCs w:val="20"/>
        </w:rPr>
        <w:t>Ureditev otroškega igrišča:</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Igrišče se uredi skladno z določili OPN in področnimi predpisi.</w:t>
      </w:r>
    </w:p>
    <w:p w:rsidR="00534FD6" w:rsidRPr="00CF1766" w:rsidRDefault="00534FD6" w:rsidP="00534FD6">
      <w:pPr>
        <w:autoSpaceDE w:val="0"/>
        <w:autoSpaceDN w:val="0"/>
        <w:adjustRightInd w:val="0"/>
        <w:rPr>
          <w:rFonts w:cs="Arial"/>
          <w:color w:val="070707"/>
          <w:sz w:val="20"/>
          <w:szCs w:val="20"/>
        </w:rPr>
      </w:pPr>
      <w:r w:rsidRPr="00CF1766">
        <w:rPr>
          <w:rFonts w:cs="Arial"/>
          <w:color w:val="070707"/>
          <w:sz w:val="20"/>
          <w:szCs w:val="20"/>
        </w:rPr>
        <w:t>Odstranitev objekta:</w:t>
      </w:r>
    </w:p>
    <w:p w:rsidR="00534FD6" w:rsidRPr="00CF1766" w:rsidRDefault="00534FD6" w:rsidP="00534FD6">
      <w:pPr>
        <w:numPr>
          <w:ilvl w:val="0"/>
          <w:numId w:val="13"/>
        </w:numPr>
        <w:autoSpaceDE w:val="0"/>
        <w:autoSpaceDN w:val="0"/>
        <w:adjustRightInd w:val="0"/>
        <w:rPr>
          <w:rFonts w:cs="Arial"/>
          <w:color w:val="070707"/>
          <w:sz w:val="20"/>
          <w:szCs w:val="20"/>
        </w:rPr>
      </w:pPr>
      <w:r w:rsidRPr="00CF1766">
        <w:rPr>
          <w:rFonts w:cs="Arial"/>
          <w:color w:val="070707"/>
          <w:sz w:val="20"/>
          <w:szCs w:val="20"/>
        </w:rPr>
        <w:t>Odstranitev objekta zaradi rekonstrukcije in razširitve obstoječe dovozne ceste se izvaja skladno z določili OPN in področnimi predpisi.</w:t>
      </w:r>
    </w:p>
    <w:p w:rsidR="00534FD6" w:rsidRPr="00CF1766" w:rsidRDefault="00534FD6" w:rsidP="00534FD6">
      <w:pPr>
        <w:autoSpaceDE w:val="0"/>
        <w:autoSpaceDN w:val="0"/>
        <w:adjustRightInd w:val="0"/>
        <w:rPr>
          <w:rFonts w:cs="Arial"/>
          <w:i/>
          <w:sz w:val="20"/>
          <w:szCs w:val="20"/>
          <w:u w:val="single"/>
        </w:rPr>
      </w:pPr>
      <w:r w:rsidRPr="00CF1766">
        <w:rPr>
          <w:rFonts w:cs="Arial"/>
          <w:i/>
          <w:sz w:val="20"/>
          <w:szCs w:val="20"/>
          <w:u w:val="single"/>
        </w:rPr>
        <w:t>Zunanja podoba objektov:</w:t>
      </w:r>
    </w:p>
    <w:p w:rsidR="00534FD6" w:rsidRPr="00CF1766" w:rsidRDefault="00534FD6" w:rsidP="00534FD6">
      <w:pPr>
        <w:autoSpaceDE w:val="0"/>
        <w:autoSpaceDN w:val="0"/>
        <w:adjustRightInd w:val="0"/>
        <w:rPr>
          <w:rFonts w:cs="Arial"/>
          <w:sz w:val="20"/>
          <w:szCs w:val="20"/>
        </w:rPr>
      </w:pPr>
      <w:r w:rsidRPr="00CF1766">
        <w:rPr>
          <w:rFonts w:cs="Arial"/>
          <w:sz w:val="20"/>
          <w:szCs w:val="20"/>
        </w:rPr>
        <w:t>Fasadne odprtine morajo biti pravokotne ali kvadratne oblike. Fasade morajo biti obdelane z zaključnimi ometi v svetlih barvah ter barvah v spektru razli</w:t>
      </w:r>
      <w:r w:rsidRPr="00CF1766">
        <w:rPr>
          <w:rFonts w:cs="Arial" w:hint="eastAsia"/>
          <w:sz w:val="20"/>
          <w:szCs w:val="20"/>
        </w:rPr>
        <w:t>č</w:t>
      </w:r>
      <w:r w:rsidRPr="00CF1766">
        <w:rPr>
          <w:rFonts w:cs="Arial"/>
          <w:sz w:val="20"/>
          <w:szCs w:val="20"/>
        </w:rPr>
        <w:t xml:space="preserve">nih zemeljskih tonov. Lahko so v kombinaciji z lesom v naravni barvi in v kombinaciji z naravnim kamnom, fasadna opeka ni dovoljena. </w:t>
      </w:r>
    </w:p>
    <w:p w:rsidR="00534FD6" w:rsidRPr="00CF1766" w:rsidRDefault="00534FD6" w:rsidP="00534FD6">
      <w:pPr>
        <w:autoSpaceDE w:val="0"/>
        <w:autoSpaceDN w:val="0"/>
        <w:adjustRightInd w:val="0"/>
        <w:rPr>
          <w:rFonts w:cs="Arial"/>
          <w:sz w:val="20"/>
          <w:szCs w:val="20"/>
        </w:rPr>
      </w:pPr>
      <w:r w:rsidRPr="00CF1766">
        <w:rPr>
          <w:rFonts w:cs="Arial"/>
          <w:sz w:val="20"/>
          <w:szCs w:val="20"/>
        </w:rPr>
        <w:t>Barve kritin (izjeme so ravne strehe) naj bodo temne (sive do grafitno sive, rjave ali ope</w:t>
      </w:r>
      <w:r w:rsidRPr="00CF1766">
        <w:rPr>
          <w:rFonts w:cs="Arial" w:hint="eastAsia"/>
          <w:sz w:val="20"/>
          <w:szCs w:val="20"/>
        </w:rPr>
        <w:t>č</w:t>
      </w:r>
      <w:r w:rsidRPr="00CF1766">
        <w:rPr>
          <w:rFonts w:cs="Arial"/>
          <w:sz w:val="20"/>
          <w:szCs w:val="20"/>
        </w:rPr>
        <w:t xml:space="preserve">ne barve) in ne smejo biti </w:t>
      </w:r>
      <w:proofErr w:type="spellStart"/>
      <w:r w:rsidRPr="00CF1766">
        <w:rPr>
          <w:rFonts w:cs="Arial"/>
          <w:sz w:val="20"/>
          <w:szCs w:val="20"/>
        </w:rPr>
        <w:t>reflektirajoče</w:t>
      </w:r>
      <w:proofErr w:type="spellEnd"/>
      <w:r w:rsidRPr="00CF1766">
        <w:rPr>
          <w:rFonts w:cs="Arial"/>
          <w:sz w:val="20"/>
          <w:szCs w:val="20"/>
        </w:rPr>
        <w:t xml:space="preserve">. Napušči ne smejo biti izdelani iz masivnih elementov. </w:t>
      </w:r>
    </w:p>
    <w:p w:rsidR="00534FD6" w:rsidRPr="00CF1766" w:rsidRDefault="00534FD6" w:rsidP="00534FD6">
      <w:pPr>
        <w:autoSpaceDE w:val="0"/>
        <w:autoSpaceDN w:val="0"/>
        <w:adjustRightInd w:val="0"/>
        <w:rPr>
          <w:rFonts w:cs="Arial"/>
          <w:sz w:val="20"/>
          <w:szCs w:val="20"/>
        </w:rPr>
      </w:pPr>
      <w:r w:rsidRPr="00CF1766">
        <w:rPr>
          <w:rFonts w:cs="Arial"/>
          <w:sz w:val="20"/>
          <w:szCs w:val="20"/>
        </w:rPr>
        <w:t>Balkonske ograje so lahko lesene v naravni barvi, steklene  ali kovinske.</w:t>
      </w:r>
    </w:p>
    <w:p w:rsidR="00534FD6" w:rsidRPr="00CF1766" w:rsidRDefault="00534FD6" w:rsidP="00534FD6">
      <w:pPr>
        <w:autoSpaceDE w:val="0"/>
        <w:autoSpaceDN w:val="0"/>
        <w:adjustRightInd w:val="0"/>
        <w:rPr>
          <w:rFonts w:cs="Arial"/>
          <w:sz w:val="20"/>
          <w:szCs w:val="20"/>
        </w:rPr>
      </w:pPr>
      <w:r w:rsidRPr="00CF1766">
        <w:rPr>
          <w:rFonts w:cs="Arial"/>
          <w:sz w:val="20"/>
          <w:szCs w:val="20"/>
        </w:rPr>
        <w:t>Prepovedana je uporaba barv, ki se v prostoru izrazito mote</w:t>
      </w:r>
      <w:r w:rsidRPr="00CF1766">
        <w:rPr>
          <w:rFonts w:cs="Arial" w:hint="eastAsia"/>
          <w:sz w:val="20"/>
          <w:szCs w:val="20"/>
        </w:rPr>
        <w:t>č</w:t>
      </w:r>
      <w:r w:rsidRPr="00CF1766">
        <w:rPr>
          <w:rFonts w:cs="Arial"/>
          <w:sz w:val="20"/>
          <w:szCs w:val="20"/>
        </w:rPr>
        <w:t>e in neavtohtone (npr. citronsko rumena, vijoli</w:t>
      </w:r>
      <w:r w:rsidRPr="00CF1766">
        <w:rPr>
          <w:rFonts w:cs="Arial" w:hint="eastAsia"/>
          <w:sz w:val="20"/>
          <w:szCs w:val="20"/>
        </w:rPr>
        <w:t>č</w:t>
      </w:r>
      <w:r w:rsidRPr="00CF1766">
        <w:rPr>
          <w:rFonts w:cs="Arial"/>
          <w:sz w:val="20"/>
          <w:szCs w:val="20"/>
        </w:rPr>
        <w:t xml:space="preserve">na, </w:t>
      </w:r>
      <w:r w:rsidRPr="00CF1766">
        <w:rPr>
          <w:rFonts w:cs="Arial" w:hint="eastAsia"/>
          <w:sz w:val="20"/>
          <w:szCs w:val="20"/>
        </w:rPr>
        <w:t>ž</w:t>
      </w:r>
      <w:r w:rsidRPr="00CF1766">
        <w:rPr>
          <w:rFonts w:cs="Arial"/>
          <w:sz w:val="20"/>
          <w:szCs w:val="20"/>
        </w:rPr>
        <w:t>ivo oz. travni</w:t>
      </w:r>
      <w:r w:rsidRPr="00CF1766">
        <w:rPr>
          <w:rFonts w:cs="Arial" w:hint="eastAsia"/>
          <w:sz w:val="20"/>
          <w:szCs w:val="20"/>
        </w:rPr>
        <w:t>š</w:t>
      </w:r>
      <w:r w:rsidRPr="00CF1766">
        <w:rPr>
          <w:rFonts w:cs="Arial"/>
          <w:sz w:val="20"/>
          <w:szCs w:val="20"/>
        </w:rPr>
        <w:t xml:space="preserve">ko zelena, </w:t>
      </w:r>
      <w:r w:rsidRPr="00CF1766">
        <w:rPr>
          <w:rFonts w:cs="Arial" w:hint="eastAsia"/>
          <w:sz w:val="20"/>
          <w:szCs w:val="20"/>
        </w:rPr>
        <w:t>ž</w:t>
      </w:r>
      <w:r w:rsidRPr="00CF1766">
        <w:rPr>
          <w:rFonts w:cs="Arial"/>
          <w:sz w:val="20"/>
          <w:szCs w:val="20"/>
        </w:rPr>
        <w:t>ivo, temno oz. turkizno modra).</w:t>
      </w:r>
    </w:p>
    <w:p w:rsidR="00534FD6" w:rsidRPr="00CF1766" w:rsidRDefault="00534FD6" w:rsidP="00534FD6">
      <w:pPr>
        <w:autoSpaceDE w:val="0"/>
        <w:autoSpaceDN w:val="0"/>
        <w:adjustRightInd w:val="0"/>
        <w:rPr>
          <w:sz w:val="20"/>
          <w:szCs w:val="20"/>
        </w:rPr>
      </w:pPr>
      <w:r w:rsidRPr="00CF1766">
        <w:rPr>
          <w:rFonts w:cs="Arial"/>
          <w:i/>
          <w:sz w:val="20"/>
          <w:szCs w:val="20"/>
          <w:u w:val="single"/>
        </w:rPr>
        <w:t>Nezahtevni in enostavni objekti</w:t>
      </w:r>
    </w:p>
    <w:p w:rsidR="00534FD6" w:rsidRPr="00CF1766" w:rsidRDefault="00534FD6" w:rsidP="00534FD6">
      <w:pPr>
        <w:autoSpaceDE w:val="0"/>
        <w:autoSpaceDN w:val="0"/>
        <w:adjustRightInd w:val="0"/>
        <w:rPr>
          <w:rFonts w:cs="Arial"/>
          <w:sz w:val="20"/>
          <w:szCs w:val="20"/>
        </w:rPr>
      </w:pPr>
      <w:r w:rsidRPr="00CF1766">
        <w:rPr>
          <w:rFonts w:cs="Arial"/>
          <w:sz w:val="20"/>
          <w:szCs w:val="20"/>
        </w:rPr>
        <w:t>Gradnja nezahtevnih in enostavnih objektov se izvaja skladno z veljavnimi zakoni, pravilniki in uredbami.</w:t>
      </w:r>
    </w:p>
    <w:p w:rsidR="00534FD6" w:rsidRPr="00CF1766" w:rsidRDefault="00534FD6" w:rsidP="00534FD6">
      <w:pPr>
        <w:autoSpaceDE w:val="0"/>
        <w:autoSpaceDN w:val="0"/>
        <w:adjustRightInd w:val="0"/>
        <w:rPr>
          <w:rFonts w:cs="Arial"/>
          <w:sz w:val="20"/>
          <w:szCs w:val="20"/>
        </w:rPr>
      </w:pPr>
      <w:r w:rsidRPr="00CF1766">
        <w:rPr>
          <w:rFonts w:cs="Arial"/>
          <w:sz w:val="20"/>
          <w:szCs w:val="20"/>
        </w:rPr>
        <w:t>Nezahtevni in enostavni objekti so samostojni objekti in se lahko gradijo ob osnovnemu objektu ali samostojno, skladno z oblikovanjem in materialni osnovne stavbe.</w:t>
      </w:r>
    </w:p>
    <w:p w:rsidR="00534FD6" w:rsidRPr="00CF1766" w:rsidRDefault="00534FD6" w:rsidP="00534FD6">
      <w:pPr>
        <w:autoSpaceDE w:val="0"/>
        <w:autoSpaceDN w:val="0"/>
        <w:adjustRightInd w:val="0"/>
        <w:rPr>
          <w:rFonts w:cs="Arial"/>
          <w:sz w:val="20"/>
          <w:szCs w:val="20"/>
        </w:rPr>
      </w:pPr>
      <w:r w:rsidRPr="00CF1766">
        <w:rPr>
          <w:rFonts w:cs="Arial"/>
          <w:sz w:val="20"/>
          <w:szCs w:val="20"/>
        </w:rPr>
        <w:t>Streha pri nezahtevnih in enostavnih objektih mora biti izvedena na enak način in v enakih barvah ter materialih kot nad osnovno stavbo, razen pri steklenih nadstreških, pri katerih je dopustna uporaba brezbarvnega stekla. Nadstreški so lahko tudi enokapni v minimalnem naklonu do 8º.</w:t>
      </w:r>
    </w:p>
    <w:p w:rsidR="00534FD6" w:rsidRPr="00CF1766" w:rsidRDefault="00534FD6" w:rsidP="00534FD6">
      <w:pPr>
        <w:autoSpaceDE w:val="0"/>
        <w:autoSpaceDN w:val="0"/>
        <w:adjustRightInd w:val="0"/>
        <w:rPr>
          <w:rFonts w:cs="Arial"/>
          <w:i/>
          <w:sz w:val="20"/>
          <w:szCs w:val="20"/>
          <w:u w:val="single"/>
        </w:rPr>
      </w:pPr>
      <w:r w:rsidRPr="00CF1766">
        <w:rPr>
          <w:rFonts w:cs="Arial"/>
          <w:i/>
          <w:sz w:val="20"/>
          <w:szCs w:val="20"/>
          <w:u w:val="single"/>
        </w:rPr>
        <w:t>Ureditev okolice objektov:</w:t>
      </w:r>
    </w:p>
    <w:p w:rsidR="00534FD6" w:rsidRPr="00CF1766" w:rsidRDefault="00534FD6" w:rsidP="00534FD6">
      <w:pPr>
        <w:tabs>
          <w:tab w:val="left" w:pos="426"/>
        </w:tabs>
        <w:autoSpaceDE w:val="0"/>
        <w:autoSpaceDN w:val="0"/>
        <w:adjustRightInd w:val="0"/>
        <w:rPr>
          <w:rFonts w:cs="Arial"/>
          <w:sz w:val="20"/>
          <w:szCs w:val="20"/>
        </w:rPr>
      </w:pPr>
      <w:r w:rsidRPr="00CF1766">
        <w:rPr>
          <w:rFonts w:cs="Arial"/>
          <w:sz w:val="20"/>
          <w:szCs w:val="20"/>
        </w:rPr>
        <w:t>Možna je poljubna ureditev parkirnih, manipulativnih in zelenih površin, odvisno od potreb in razpoložljivega prostora na parceli.</w:t>
      </w:r>
    </w:p>
    <w:p w:rsidR="00534FD6" w:rsidRPr="00CF1766" w:rsidRDefault="00534FD6" w:rsidP="00534FD6">
      <w:pPr>
        <w:tabs>
          <w:tab w:val="left" w:pos="426"/>
        </w:tabs>
        <w:autoSpaceDE w:val="0"/>
        <w:autoSpaceDN w:val="0"/>
        <w:adjustRightInd w:val="0"/>
        <w:rPr>
          <w:rFonts w:cs="Arial"/>
          <w:sz w:val="20"/>
          <w:szCs w:val="20"/>
        </w:rPr>
      </w:pPr>
      <w:proofErr w:type="spellStart"/>
      <w:r w:rsidRPr="00CF1766">
        <w:rPr>
          <w:rFonts w:cs="Arial"/>
          <w:sz w:val="20"/>
          <w:szCs w:val="20"/>
        </w:rPr>
        <w:t>Medposestne</w:t>
      </w:r>
      <w:proofErr w:type="spellEnd"/>
      <w:r w:rsidRPr="00CF1766">
        <w:rPr>
          <w:rFonts w:cs="Arial"/>
          <w:sz w:val="20"/>
          <w:szCs w:val="20"/>
        </w:rPr>
        <w:t xml:space="preserve"> ograje se postavi s soglasjem soseda na mejo, ob cesti skladno s pogoji upravljavca ceste. Vsi pomožni objekti za lastne potrebe znotraj pripadajoče zemljiške parcele morajo biti skladni z Uredbo o vrstah objektov glede na zahtevnost in upoštevanjem urbanističnih zahtev tega odloka (zazidanost, zelene površine).</w:t>
      </w:r>
    </w:p>
    <w:p w:rsidR="00534FD6" w:rsidRPr="00CF1766" w:rsidRDefault="00534FD6" w:rsidP="00534FD6">
      <w:pPr>
        <w:tabs>
          <w:tab w:val="left" w:pos="426"/>
        </w:tabs>
        <w:rPr>
          <w:rFonts w:cs="Arial"/>
          <w:sz w:val="20"/>
          <w:szCs w:val="20"/>
        </w:rPr>
      </w:pPr>
      <w:r w:rsidRPr="00CF1766">
        <w:rPr>
          <w:rFonts w:cs="Arial"/>
          <w:sz w:val="20"/>
          <w:szCs w:val="20"/>
        </w:rPr>
        <w:t xml:space="preserve">Del zemljišča med cesto in stanovanjskim objektom je namenjeno dvorišču. Na tem delu se lahko postavi nadstrešnica. Del zemljišča, ki je neposredno povezan z bivalnimi prostori hiše, se lahko nameni terasi, ki je lahko pokrita. </w:t>
      </w:r>
    </w:p>
    <w:p w:rsidR="00534FD6" w:rsidRPr="00CF1766" w:rsidRDefault="00534FD6" w:rsidP="00534FD6">
      <w:pPr>
        <w:tabs>
          <w:tab w:val="left" w:pos="426"/>
        </w:tabs>
        <w:autoSpaceDE w:val="0"/>
        <w:autoSpaceDN w:val="0"/>
        <w:adjustRightInd w:val="0"/>
        <w:rPr>
          <w:rFonts w:cs="Arial"/>
          <w:sz w:val="20"/>
          <w:szCs w:val="20"/>
        </w:rPr>
      </w:pPr>
      <w:r w:rsidRPr="00CF1766">
        <w:rPr>
          <w:rFonts w:cs="Arial"/>
          <w:sz w:val="20"/>
          <w:szCs w:val="20"/>
        </w:rPr>
        <w:t>Premoščanje višinskih razlik med nivoji terena posameznih zemljiških parcel do 1,00 m se ureja s travnimi brežinami.</w:t>
      </w:r>
    </w:p>
    <w:p w:rsidR="00534FD6" w:rsidRPr="00CF1766" w:rsidRDefault="00534FD6" w:rsidP="00534FD6">
      <w:pPr>
        <w:tabs>
          <w:tab w:val="left" w:pos="426"/>
        </w:tabs>
        <w:autoSpaceDE w:val="0"/>
        <w:autoSpaceDN w:val="0"/>
        <w:adjustRightInd w:val="0"/>
        <w:rPr>
          <w:rFonts w:cs="Arial"/>
          <w:sz w:val="20"/>
          <w:szCs w:val="20"/>
        </w:rPr>
      </w:pPr>
      <w:r w:rsidRPr="00CF1766">
        <w:rPr>
          <w:rFonts w:cs="Arial"/>
          <w:sz w:val="20"/>
          <w:szCs w:val="20"/>
        </w:rPr>
        <w:t>Za površine, namenjene zelenim površinam je potrebno uporabiti sadike avtohtonih drevesnih vrst.</w:t>
      </w:r>
    </w:p>
    <w:p w:rsidR="00CF1766" w:rsidRDefault="00CF1766" w:rsidP="00534FD6">
      <w:pPr>
        <w:autoSpaceDE w:val="0"/>
        <w:autoSpaceDN w:val="0"/>
        <w:adjustRightInd w:val="0"/>
        <w:rPr>
          <w:rFonts w:cs="Arial"/>
          <w:i/>
          <w:sz w:val="20"/>
          <w:szCs w:val="20"/>
          <w:u w:val="single"/>
        </w:rPr>
      </w:pPr>
    </w:p>
    <w:p w:rsidR="00534FD6" w:rsidRPr="00CF1766" w:rsidRDefault="00534FD6" w:rsidP="00534FD6">
      <w:pPr>
        <w:autoSpaceDE w:val="0"/>
        <w:autoSpaceDN w:val="0"/>
        <w:adjustRightInd w:val="0"/>
        <w:rPr>
          <w:rFonts w:cs="Arial"/>
          <w:i/>
          <w:sz w:val="20"/>
          <w:szCs w:val="20"/>
          <w:u w:val="single"/>
        </w:rPr>
      </w:pPr>
      <w:r w:rsidRPr="00CF1766">
        <w:rPr>
          <w:rFonts w:cs="Arial"/>
          <w:i/>
          <w:sz w:val="20"/>
          <w:szCs w:val="20"/>
          <w:u w:val="single"/>
        </w:rPr>
        <w:t>Lega objektov na zemljišču</w:t>
      </w:r>
    </w:p>
    <w:p w:rsidR="00534FD6" w:rsidRPr="00CF1766" w:rsidRDefault="00534FD6" w:rsidP="00534FD6">
      <w:pPr>
        <w:autoSpaceDE w:val="0"/>
        <w:autoSpaceDN w:val="0"/>
        <w:adjustRightInd w:val="0"/>
        <w:rPr>
          <w:rFonts w:cs="Arial"/>
          <w:sz w:val="20"/>
          <w:szCs w:val="20"/>
        </w:rPr>
      </w:pPr>
      <w:r w:rsidRPr="00CF1766">
        <w:rPr>
          <w:rFonts w:cs="Arial"/>
          <w:sz w:val="20"/>
          <w:szCs w:val="20"/>
        </w:rPr>
        <w:lastRenderedPageBreak/>
        <w:t>Lega objektov je prikazana na načrtu (Ureditvena situacija – karta št. 5).</w:t>
      </w:r>
    </w:p>
    <w:p w:rsidR="00534FD6" w:rsidRPr="00CF1766" w:rsidRDefault="00534FD6" w:rsidP="00534FD6">
      <w:pPr>
        <w:autoSpaceDE w:val="0"/>
        <w:autoSpaceDN w:val="0"/>
        <w:adjustRightInd w:val="0"/>
        <w:rPr>
          <w:rFonts w:eastAsia="Arial Unicode MS"/>
          <w:sz w:val="20"/>
          <w:szCs w:val="20"/>
        </w:rPr>
      </w:pPr>
      <w:r w:rsidRPr="00CF1766">
        <w:rPr>
          <w:rFonts w:cs="Arial"/>
          <w:sz w:val="20"/>
          <w:szCs w:val="20"/>
        </w:rPr>
        <w:t xml:space="preserve">Vse novogradnje so </w:t>
      </w:r>
      <w:proofErr w:type="spellStart"/>
      <w:r w:rsidRPr="00CF1766">
        <w:rPr>
          <w:rFonts w:cs="Arial"/>
          <w:sz w:val="20"/>
          <w:szCs w:val="20"/>
        </w:rPr>
        <w:t>pozicionirane</w:t>
      </w:r>
      <w:proofErr w:type="spellEnd"/>
      <w:r w:rsidRPr="00CF1766">
        <w:rPr>
          <w:rFonts w:cs="Arial"/>
          <w:sz w:val="20"/>
          <w:szCs w:val="20"/>
        </w:rPr>
        <w:t xml:space="preserve"> s fiksno točko.</w:t>
      </w:r>
    </w:p>
    <w:p w:rsidR="00534FD6" w:rsidRPr="00CF1766" w:rsidRDefault="00534FD6" w:rsidP="00534FD6">
      <w:pPr>
        <w:autoSpaceDE w:val="0"/>
        <w:autoSpaceDN w:val="0"/>
        <w:adjustRightInd w:val="0"/>
        <w:rPr>
          <w:rFonts w:eastAsia="Arial Unicode MS"/>
          <w:sz w:val="20"/>
          <w:szCs w:val="20"/>
        </w:rPr>
      </w:pPr>
      <w:r w:rsidRPr="00CF1766">
        <w:rPr>
          <w:rFonts w:cs="Arial"/>
          <w:sz w:val="20"/>
          <w:szCs w:val="20"/>
        </w:rPr>
        <w:t>Nove stavbe morajo biti od najbolj izpostavljenega dela objekta oddaljene od meje sosednjih parcel najmanj 4,00 m, nezahtevni in enostavni objekti pa 1,50 m. Manjši odmiki so možni ob pisnem soglasju lastnika sosednje parcele.</w:t>
      </w:r>
    </w:p>
    <w:p w:rsidR="00534FD6" w:rsidRPr="00CF1766" w:rsidRDefault="00534FD6" w:rsidP="00534FD6">
      <w:pPr>
        <w:autoSpaceDE w:val="0"/>
        <w:autoSpaceDN w:val="0"/>
        <w:adjustRightInd w:val="0"/>
        <w:rPr>
          <w:rFonts w:cs="Arial"/>
          <w:sz w:val="20"/>
          <w:szCs w:val="20"/>
        </w:rPr>
      </w:pPr>
      <w:r w:rsidRPr="00CF1766">
        <w:rPr>
          <w:rFonts w:cs="Arial" w:hint="eastAsia"/>
          <w:sz w:val="20"/>
          <w:szCs w:val="20"/>
        </w:rPr>
        <w:t>Č</w:t>
      </w:r>
      <w:r w:rsidRPr="00CF1766">
        <w:rPr>
          <w:rFonts w:cs="Arial"/>
          <w:sz w:val="20"/>
          <w:szCs w:val="20"/>
        </w:rPr>
        <w:t>e le</w:t>
      </w:r>
      <w:r w:rsidRPr="00CF1766">
        <w:rPr>
          <w:rFonts w:cs="Arial" w:hint="eastAsia"/>
          <w:sz w:val="20"/>
          <w:szCs w:val="20"/>
        </w:rPr>
        <w:t>ž</w:t>
      </w:r>
      <w:r w:rsidRPr="00CF1766">
        <w:rPr>
          <w:rFonts w:cs="Arial"/>
          <w:sz w:val="20"/>
          <w:szCs w:val="20"/>
        </w:rPr>
        <w:t>i na</w:t>
      </w:r>
      <w:r w:rsidRPr="00CF1766">
        <w:rPr>
          <w:rFonts w:cs="Arial" w:hint="eastAsia"/>
          <w:sz w:val="20"/>
          <w:szCs w:val="20"/>
        </w:rPr>
        <w:t>č</w:t>
      </w:r>
      <w:r w:rsidRPr="00CF1766">
        <w:rPr>
          <w:rFonts w:cs="Arial"/>
          <w:sz w:val="20"/>
          <w:szCs w:val="20"/>
        </w:rPr>
        <w:t>rtovani novi objekt ju</w:t>
      </w:r>
      <w:r w:rsidRPr="00CF1766">
        <w:rPr>
          <w:rFonts w:cs="Arial" w:hint="eastAsia"/>
          <w:sz w:val="20"/>
          <w:szCs w:val="20"/>
        </w:rPr>
        <w:t>ž</w:t>
      </w:r>
      <w:r w:rsidRPr="00CF1766">
        <w:rPr>
          <w:rFonts w:cs="Arial"/>
          <w:sz w:val="20"/>
          <w:szCs w:val="20"/>
        </w:rPr>
        <w:t>no, jugovzhodno ali jugozahodno od stanovanjske stavbe, mora biti razmik med robom kapi na</w:t>
      </w:r>
      <w:r w:rsidRPr="00CF1766">
        <w:rPr>
          <w:rFonts w:cs="Arial" w:hint="eastAsia"/>
          <w:sz w:val="20"/>
          <w:szCs w:val="20"/>
        </w:rPr>
        <w:t>č</w:t>
      </w:r>
      <w:r w:rsidRPr="00CF1766">
        <w:rPr>
          <w:rFonts w:cs="Arial"/>
          <w:sz w:val="20"/>
          <w:szCs w:val="20"/>
        </w:rPr>
        <w:t>rtovanega objekta in zunanjim zidom (fasado) sosednje stanovanjske stavbe najmanj 1,5 vi</w:t>
      </w:r>
      <w:r w:rsidRPr="00CF1766">
        <w:rPr>
          <w:rFonts w:cs="Arial" w:hint="eastAsia"/>
          <w:sz w:val="20"/>
          <w:szCs w:val="20"/>
        </w:rPr>
        <w:t>š</w:t>
      </w:r>
      <w:r w:rsidRPr="00CF1766">
        <w:rPr>
          <w:rFonts w:cs="Arial"/>
          <w:sz w:val="20"/>
          <w:szCs w:val="20"/>
        </w:rPr>
        <w:t>ine kapi na</w:t>
      </w:r>
      <w:r w:rsidRPr="00CF1766">
        <w:rPr>
          <w:rFonts w:cs="Arial" w:hint="eastAsia"/>
          <w:sz w:val="20"/>
          <w:szCs w:val="20"/>
        </w:rPr>
        <w:t>č</w:t>
      </w:r>
      <w:r w:rsidRPr="00CF1766">
        <w:rPr>
          <w:rFonts w:cs="Arial"/>
          <w:sz w:val="20"/>
          <w:szCs w:val="20"/>
        </w:rPr>
        <w:t>rtovanega objekta. V kolikor so spodnje eta</w:t>
      </w:r>
      <w:r w:rsidRPr="00CF1766">
        <w:rPr>
          <w:rFonts w:cs="Arial" w:hint="eastAsia"/>
          <w:sz w:val="20"/>
          <w:szCs w:val="20"/>
        </w:rPr>
        <w:t>ž</w:t>
      </w:r>
      <w:r w:rsidRPr="00CF1766">
        <w:rPr>
          <w:rFonts w:cs="Arial"/>
          <w:sz w:val="20"/>
          <w:szCs w:val="20"/>
        </w:rPr>
        <w:t>e stanovanjske stavbe prete</w:t>
      </w:r>
      <w:r w:rsidRPr="00CF1766">
        <w:rPr>
          <w:rFonts w:cs="Arial" w:hint="eastAsia"/>
          <w:sz w:val="20"/>
          <w:szCs w:val="20"/>
        </w:rPr>
        <w:t>ž</w:t>
      </w:r>
      <w:r w:rsidRPr="00CF1766">
        <w:rPr>
          <w:rFonts w:cs="Arial"/>
          <w:sz w:val="20"/>
          <w:szCs w:val="20"/>
        </w:rPr>
        <w:t>no namenjene drugi dejavnosti, se razmiki med objekti lahko zmanj</w:t>
      </w:r>
      <w:r w:rsidRPr="00CF1766">
        <w:rPr>
          <w:rFonts w:cs="Arial" w:hint="eastAsia"/>
          <w:sz w:val="20"/>
          <w:szCs w:val="20"/>
        </w:rPr>
        <w:t>š</w:t>
      </w:r>
      <w:r w:rsidRPr="00CF1766">
        <w:rPr>
          <w:rFonts w:cs="Arial"/>
          <w:sz w:val="20"/>
          <w:szCs w:val="20"/>
        </w:rPr>
        <w:t>ajo za skupno vi</w:t>
      </w:r>
      <w:r w:rsidRPr="00CF1766">
        <w:rPr>
          <w:rFonts w:cs="Arial" w:hint="eastAsia"/>
          <w:sz w:val="20"/>
          <w:szCs w:val="20"/>
        </w:rPr>
        <w:t>š</w:t>
      </w:r>
      <w:r w:rsidRPr="00CF1766">
        <w:rPr>
          <w:rFonts w:cs="Arial"/>
          <w:sz w:val="20"/>
          <w:szCs w:val="20"/>
        </w:rPr>
        <w:t>ino teh eta</w:t>
      </w:r>
      <w:r w:rsidRPr="00CF1766">
        <w:rPr>
          <w:rFonts w:cs="Arial" w:hint="eastAsia"/>
          <w:sz w:val="20"/>
          <w:szCs w:val="20"/>
        </w:rPr>
        <w:t>ž</w:t>
      </w:r>
      <w:r w:rsidRPr="00CF1766">
        <w:rPr>
          <w:rFonts w:cs="Arial"/>
          <w:sz w:val="20"/>
          <w:szCs w:val="20"/>
        </w:rPr>
        <w:t>. (Na</w:t>
      </w:r>
      <w:r w:rsidRPr="00CF1766">
        <w:rPr>
          <w:rFonts w:cs="Arial" w:hint="eastAsia"/>
          <w:sz w:val="20"/>
          <w:szCs w:val="20"/>
        </w:rPr>
        <w:t>č</w:t>
      </w:r>
      <w:r w:rsidRPr="00CF1766">
        <w:rPr>
          <w:rFonts w:cs="Arial"/>
          <w:sz w:val="20"/>
          <w:szCs w:val="20"/>
        </w:rPr>
        <w:t>rtovani objekt le</w:t>
      </w:r>
      <w:r w:rsidRPr="00CF1766">
        <w:rPr>
          <w:rFonts w:cs="Arial" w:hint="eastAsia"/>
          <w:sz w:val="20"/>
          <w:szCs w:val="20"/>
        </w:rPr>
        <w:t>ž</w:t>
      </w:r>
      <w:r w:rsidRPr="00CF1766">
        <w:rPr>
          <w:rFonts w:cs="Arial"/>
          <w:sz w:val="20"/>
          <w:szCs w:val="20"/>
        </w:rPr>
        <w:t>i ju</w:t>
      </w:r>
      <w:r w:rsidRPr="00CF1766">
        <w:rPr>
          <w:rFonts w:cs="Arial" w:hint="eastAsia"/>
          <w:sz w:val="20"/>
          <w:szCs w:val="20"/>
        </w:rPr>
        <w:t>ž</w:t>
      </w:r>
      <w:r w:rsidRPr="00CF1766">
        <w:rPr>
          <w:rFonts w:cs="Arial"/>
          <w:sz w:val="20"/>
          <w:szCs w:val="20"/>
        </w:rPr>
        <w:t xml:space="preserve">no, jugovzhodno ali jugozahodno od objekta, </w:t>
      </w:r>
      <w:r w:rsidRPr="00CF1766">
        <w:rPr>
          <w:rFonts w:cs="Arial" w:hint="eastAsia"/>
          <w:sz w:val="20"/>
          <w:szCs w:val="20"/>
        </w:rPr>
        <w:t>č</w:t>
      </w:r>
      <w:r w:rsidRPr="00CF1766">
        <w:rPr>
          <w:rFonts w:cs="Arial"/>
          <w:sz w:val="20"/>
          <w:szCs w:val="20"/>
        </w:rPr>
        <w:t>e ve</w:t>
      </w:r>
      <w:r w:rsidRPr="00CF1766">
        <w:rPr>
          <w:rFonts w:cs="Arial" w:hint="eastAsia"/>
          <w:sz w:val="20"/>
          <w:szCs w:val="20"/>
        </w:rPr>
        <w:t>č</w:t>
      </w:r>
      <w:r w:rsidRPr="00CF1766">
        <w:rPr>
          <w:rFonts w:cs="Arial"/>
          <w:sz w:val="20"/>
          <w:szCs w:val="20"/>
        </w:rPr>
        <w:t xml:space="preserve"> kot polovica dol</w:t>
      </w:r>
      <w:r w:rsidRPr="00CF1766">
        <w:rPr>
          <w:rFonts w:cs="Arial" w:hint="eastAsia"/>
          <w:sz w:val="20"/>
          <w:szCs w:val="20"/>
        </w:rPr>
        <w:t>ž</w:t>
      </w:r>
      <w:r w:rsidRPr="00CF1766">
        <w:rPr>
          <w:rFonts w:cs="Arial"/>
          <w:sz w:val="20"/>
          <w:szCs w:val="20"/>
        </w:rPr>
        <w:t>ine fasadnega oboda stanovanjske stavbe le</w:t>
      </w:r>
      <w:r w:rsidRPr="00CF1766">
        <w:rPr>
          <w:rFonts w:cs="Arial" w:hint="eastAsia"/>
          <w:sz w:val="20"/>
          <w:szCs w:val="20"/>
        </w:rPr>
        <w:t>ž</w:t>
      </w:r>
      <w:r w:rsidRPr="00CF1766">
        <w:rPr>
          <w:rFonts w:cs="Arial"/>
          <w:sz w:val="20"/>
          <w:szCs w:val="20"/>
        </w:rPr>
        <w:t>i znotraj obmo</w:t>
      </w:r>
      <w:r w:rsidRPr="00CF1766">
        <w:rPr>
          <w:rFonts w:cs="Arial" w:hint="eastAsia"/>
          <w:sz w:val="20"/>
          <w:szCs w:val="20"/>
        </w:rPr>
        <w:t>č</w:t>
      </w:r>
      <w:r w:rsidRPr="00CF1766">
        <w:rPr>
          <w:rFonts w:cs="Arial"/>
          <w:sz w:val="20"/>
          <w:szCs w:val="20"/>
        </w:rPr>
        <w:t>ja, ki ga dolo</w:t>
      </w:r>
      <w:r w:rsidRPr="00CF1766">
        <w:rPr>
          <w:rFonts w:cs="Arial" w:hint="eastAsia"/>
          <w:sz w:val="20"/>
          <w:szCs w:val="20"/>
        </w:rPr>
        <w:t>č</w:t>
      </w:r>
      <w:r w:rsidRPr="00CF1766">
        <w:rPr>
          <w:rFonts w:cs="Arial"/>
          <w:sz w:val="20"/>
          <w:szCs w:val="20"/>
        </w:rPr>
        <w:t xml:space="preserve">ata premici, ki potekata pod kotom </w:t>
      </w:r>
      <w:r w:rsidRPr="00CF1766">
        <w:rPr>
          <w:rFonts w:cs="Arial" w:hint="eastAsia"/>
          <w:sz w:val="20"/>
          <w:szCs w:val="20"/>
        </w:rPr>
        <w:t>±</w:t>
      </w:r>
      <w:r w:rsidRPr="00CF1766">
        <w:rPr>
          <w:rFonts w:cs="Arial"/>
          <w:sz w:val="20"/>
          <w:szCs w:val="20"/>
        </w:rPr>
        <w:t>45</w:t>
      </w:r>
      <w:r w:rsidRPr="00CF1766">
        <w:rPr>
          <w:rFonts w:cs="Arial" w:hint="eastAsia"/>
          <w:sz w:val="20"/>
          <w:szCs w:val="20"/>
        </w:rPr>
        <w:t>º</w:t>
      </w:r>
      <w:r w:rsidRPr="00CF1766">
        <w:rPr>
          <w:rFonts w:cs="Arial"/>
          <w:sz w:val="20"/>
          <w:szCs w:val="20"/>
        </w:rPr>
        <w:t xml:space="preserve"> od smeri severa, od to</w:t>
      </w:r>
      <w:r w:rsidRPr="00CF1766">
        <w:rPr>
          <w:rFonts w:cs="Arial" w:hint="eastAsia"/>
          <w:sz w:val="20"/>
          <w:szCs w:val="20"/>
        </w:rPr>
        <w:t>č</w:t>
      </w:r>
      <w:r w:rsidRPr="00CF1766">
        <w:rPr>
          <w:rFonts w:cs="Arial"/>
          <w:sz w:val="20"/>
          <w:szCs w:val="20"/>
        </w:rPr>
        <w:t>k skrajnih ju</w:t>
      </w:r>
      <w:r w:rsidRPr="00CF1766">
        <w:rPr>
          <w:rFonts w:cs="Arial" w:hint="eastAsia"/>
          <w:sz w:val="20"/>
          <w:szCs w:val="20"/>
        </w:rPr>
        <w:t>ž</w:t>
      </w:r>
      <w:r w:rsidRPr="00CF1766">
        <w:rPr>
          <w:rFonts w:cs="Arial"/>
          <w:sz w:val="20"/>
          <w:szCs w:val="20"/>
        </w:rPr>
        <w:t>nih, vzhodnih in zahodnih vogalov fasade novo predvidenega objekta.)</w:t>
      </w:r>
    </w:p>
    <w:p w:rsidR="00534FD6" w:rsidRPr="00CF1766" w:rsidRDefault="00534FD6" w:rsidP="00534FD6">
      <w:pPr>
        <w:autoSpaceDE w:val="0"/>
        <w:autoSpaceDN w:val="0"/>
        <w:adjustRightInd w:val="0"/>
        <w:rPr>
          <w:rFonts w:cs="Arial"/>
          <w:sz w:val="20"/>
          <w:szCs w:val="20"/>
        </w:rPr>
      </w:pPr>
      <w:r w:rsidRPr="00CF1766">
        <w:rPr>
          <w:rFonts w:cs="Arial"/>
          <w:sz w:val="20"/>
          <w:szCs w:val="20"/>
        </w:rPr>
        <w:t>Razmiki med stavbami morajo biti najmanj tolikšni, da so zagotovljeni svetlobno-tehnični, požarnovarnostni, sanitarni in drugi pogoji in da je možno vzdrževanje in raba objektov v okviru parcele objekta.</w:t>
      </w:r>
    </w:p>
    <w:p w:rsidR="00534FD6" w:rsidRPr="00CF1766" w:rsidRDefault="00534FD6" w:rsidP="00534FD6">
      <w:pPr>
        <w:autoSpaceDE w:val="0"/>
        <w:autoSpaceDN w:val="0"/>
        <w:adjustRightInd w:val="0"/>
        <w:rPr>
          <w:rFonts w:cs="Arial"/>
          <w:sz w:val="20"/>
          <w:szCs w:val="20"/>
        </w:rPr>
      </w:pPr>
      <w:r w:rsidRPr="00CF1766">
        <w:rPr>
          <w:rFonts w:cs="Arial"/>
          <w:sz w:val="20"/>
          <w:szCs w:val="20"/>
        </w:rPr>
        <w:t>Ne glede na določbe prejšnjega odstavka mora biti razmik med zunanjim robom fasade stanovanjskih stavb najmanj enak višini kapi načrtovanega objekta.</w:t>
      </w:r>
    </w:p>
    <w:p w:rsidR="00534FD6" w:rsidRPr="00CF1766" w:rsidRDefault="00534FD6" w:rsidP="00534FD6">
      <w:pPr>
        <w:autoSpaceDE w:val="0"/>
        <w:autoSpaceDN w:val="0"/>
        <w:adjustRightInd w:val="0"/>
        <w:rPr>
          <w:rFonts w:eastAsia="Arial Unicode MS"/>
          <w:sz w:val="20"/>
          <w:szCs w:val="20"/>
        </w:rPr>
      </w:pPr>
      <w:r w:rsidRPr="00CF1766">
        <w:rPr>
          <w:rFonts w:cs="Arial"/>
          <w:sz w:val="20"/>
          <w:szCs w:val="20"/>
        </w:rPr>
        <w:t xml:space="preserve">Med javno površino in uvozom na parkirišče oz. v garažo je potrebno pred ograjo oz. zapornico, ki zapira pot vozilom pot do parkirnih (garažnih) mest zagotoviti najmanj 5,00 m prostora, na katerem se lahko vozilo ustavi, dokler ni mogoč dostop do parkirnih (garažnih) mest. </w:t>
      </w:r>
    </w:p>
    <w:p w:rsidR="00534FD6" w:rsidRPr="00CF1766" w:rsidRDefault="00534FD6" w:rsidP="00534FD6">
      <w:pPr>
        <w:autoSpaceDE w:val="0"/>
        <w:autoSpaceDN w:val="0"/>
        <w:adjustRightInd w:val="0"/>
        <w:rPr>
          <w:rFonts w:cs="Arial"/>
          <w:i/>
          <w:sz w:val="20"/>
          <w:szCs w:val="20"/>
          <w:u w:val="single"/>
        </w:rPr>
      </w:pPr>
      <w:r w:rsidRPr="00CF1766">
        <w:rPr>
          <w:rFonts w:cs="Arial"/>
          <w:i/>
          <w:sz w:val="20"/>
          <w:szCs w:val="20"/>
          <w:u w:val="single"/>
        </w:rPr>
        <w:t>Komunalna ureditev:</w:t>
      </w:r>
    </w:p>
    <w:p w:rsidR="00534FD6" w:rsidRPr="00CF1766" w:rsidRDefault="00534FD6" w:rsidP="00534FD6">
      <w:pPr>
        <w:rPr>
          <w:rFonts w:cs="Arial"/>
          <w:sz w:val="20"/>
          <w:szCs w:val="20"/>
        </w:rPr>
      </w:pPr>
      <w:r w:rsidRPr="00CF1766">
        <w:rPr>
          <w:rFonts w:cs="Arial"/>
          <w:sz w:val="20"/>
          <w:szCs w:val="20"/>
        </w:rPr>
        <w:t xml:space="preserve">Za nemoteno delovanje predvidenih objektov in ureditev v Ureditveni enoti 1 je potrebno zagotoviti infrastrukturno opremljenost zemljišč in priključitev le te na obstoječe </w:t>
      </w:r>
      <w:r w:rsidR="003D6D79" w:rsidRPr="00CF1766">
        <w:rPr>
          <w:rFonts w:cs="Arial"/>
          <w:sz w:val="20"/>
          <w:szCs w:val="20"/>
        </w:rPr>
        <w:t>elektro, telekomuni</w:t>
      </w:r>
      <w:r w:rsidR="00CF1766" w:rsidRPr="00CF1766">
        <w:rPr>
          <w:rFonts w:cs="Arial"/>
          <w:sz w:val="20"/>
          <w:szCs w:val="20"/>
        </w:rPr>
        <w:t>ka</w:t>
      </w:r>
      <w:r w:rsidR="003D6D79" w:rsidRPr="00CF1766">
        <w:rPr>
          <w:rFonts w:cs="Arial"/>
          <w:sz w:val="20"/>
          <w:szCs w:val="20"/>
        </w:rPr>
        <w:t>ci</w:t>
      </w:r>
      <w:r w:rsidR="00CF1766" w:rsidRPr="00CF1766">
        <w:rPr>
          <w:rFonts w:cs="Arial"/>
          <w:sz w:val="20"/>
          <w:szCs w:val="20"/>
        </w:rPr>
        <w:t xml:space="preserve">jsko, vodovodno, kanalizacijsko, plinovodno omrežje in </w:t>
      </w:r>
      <w:r w:rsidRPr="00CF1766">
        <w:rPr>
          <w:rFonts w:cs="Arial"/>
          <w:sz w:val="20"/>
          <w:szCs w:val="20"/>
        </w:rPr>
        <w:t xml:space="preserve">omrežje </w:t>
      </w:r>
      <w:r w:rsidR="00CF1766" w:rsidRPr="00CF1766">
        <w:rPr>
          <w:rFonts w:cs="Arial"/>
          <w:sz w:val="20"/>
          <w:szCs w:val="20"/>
        </w:rPr>
        <w:t>javne razsvetljave</w:t>
      </w:r>
      <w:r w:rsidR="003D6D79" w:rsidRPr="00CF1766">
        <w:rPr>
          <w:rFonts w:cs="Arial"/>
          <w:sz w:val="20"/>
          <w:szCs w:val="20"/>
        </w:rPr>
        <w:t xml:space="preserve"> </w:t>
      </w:r>
      <w:r w:rsidRPr="00CF1766">
        <w:rPr>
          <w:rFonts w:cs="Arial"/>
          <w:sz w:val="20"/>
          <w:szCs w:val="20"/>
        </w:rPr>
        <w:t>izven območja urejanja.</w:t>
      </w:r>
    </w:p>
    <w:p w:rsidR="00534FD6" w:rsidRPr="00CF1766" w:rsidRDefault="00534FD6" w:rsidP="00534FD6">
      <w:pPr>
        <w:autoSpaceDE w:val="0"/>
        <w:autoSpaceDN w:val="0"/>
        <w:adjustRightInd w:val="0"/>
        <w:spacing w:before="32" w:after="8"/>
        <w:ind w:right="8"/>
        <w:rPr>
          <w:rFonts w:cs="Arial"/>
          <w:sz w:val="20"/>
          <w:szCs w:val="20"/>
        </w:rPr>
      </w:pPr>
      <w:r w:rsidRPr="00CF1766">
        <w:rPr>
          <w:rFonts w:cs="Arial"/>
          <w:sz w:val="20"/>
          <w:szCs w:val="20"/>
        </w:rPr>
        <w:t xml:space="preserve">Vsi objekti znotraj območja OPPN morajo biti priključeni na predvideno gospodarsko javno infrastrukturo po pogojih posameznih upravljavcev komunalnih vodov. Obstoječe komunalne, energetske in telekomunikacijske vode, ki se nahajajo v območju, je dopustno zaščititi, prestavljati, obnavljati, dograjevati in jim povečevati zmogljivost v skladu s prostorskimi in okoljskimi možnostmi ter ob upoštevanju veljavnih predpisov in pod pogojem, da so posegi v soglasju z njihovimi upravljavci. </w:t>
      </w:r>
    </w:p>
    <w:p w:rsidR="00534FD6" w:rsidRPr="00CF1766" w:rsidRDefault="00534FD6" w:rsidP="00534FD6">
      <w:pPr>
        <w:autoSpaceDE w:val="0"/>
        <w:autoSpaceDN w:val="0"/>
        <w:adjustRightInd w:val="0"/>
        <w:rPr>
          <w:rFonts w:cs="Arial"/>
          <w:sz w:val="20"/>
          <w:szCs w:val="20"/>
        </w:rPr>
      </w:pPr>
      <w:r w:rsidRPr="00CF1766">
        <w:rPr>
          <w:rFonts w:cs="Arial"/>
          <w:sz w:val="20"/>
          <w:szCs w:val="20"/>
        </w:rPr>
        <w:t>Komunalno prometne ureditve znotraj Ureditvene enote 2 se izvajajo skladno z določili odloka o OPN.</w:t>
      </w:r>
    </w:p>
    <w:p w:rsidR="00534FD6" w:rsidRPr="00CF1766" w:rsidRDefault="00534FD6" w:rsidP="00534FD6">
      <w:pPr>
        <w:autoSpaceDE w:val="0"/>
        <w:autoSpaceDN w:val="0"/>
        <w:adjustRightInd w:val="0"/>
        <w:rPr>
          <w:rFonts w:cs="Arial"/>
          <w:sz w:val="20"/>
          <w:szCs w:val="20"/>
        </w:rPr>
      </w:pPr>
      <w:r w:rsidRPr="00CF1766">
        <w:rPr>
          <w:rFonts w:cs="Arial"/>
          <w:sz w:val="20"/>
          <w:szCs w:val="20"/>
        </w:rPr>
        <w:t xml:space="preserve">Poleg s tem odlokom določenih ureditev komunalne opreme je dovoljena tudi gradnja drugih vodov gospodarske javne infrastrukture in priključkov nanjo, v kolikor jih je treba zgraditi zaradi potreb predmetnega območja ali sistemskih potreb infrastrukture na širšem območju pod pogojem, da dodatne ureditve ne onemogočajo izvedbe ureditev po tem odloku. Prav tako je dopustno priključiti na javno gospodarsko infrastrukturo </w:t>
      </w:r>
      <w:r w:rsidRPr="00CF1766">
        <w:rPr>
          <w:sz w:val="20"/>
          <w:szCs w:val="20"/>
        </w:rPr>
        <w:t>nezahtevne in enostavne objekte</w:t>
      </w:r>
      <w:r w:rsidRPr="00CF1766">
        <w:rPr>
          <w:rFonts w:cs="Arial"/>
          <w:sz w:val="20"/>
          <w:szCs w:val="20"/>
        </w:rPr>
        <w:t>.</w:t>
      </w:r>
    </w:p>
    <w:p w:rsidR="00534FD6" w:rsidRPr="00CF1766" w:rsidRDefault="00534FD6" w:rsidP="00534FD6">
      <w:pPr>
        <w:autoSpaceDE w:val="0"/>
        <w:autoSpaceDN w:val="0"/>
        <w:adjustRightInd w:val="0"/>
        <w:spacing w:before="32" w:after="8"/>
        <w:ind w:right="8"/>
        <w:rPr>
          <w:rFonts w:cs="Arial"/>
          <w:sz w:val="20"/>
          <w:szCs w:val="20"/>
        </w:rPr>
      </w:pPr>
      <w:r w:rsidRPr="00CF1766">
        <w:rPr>
          <w:rFonts w:cs="Arial"/>
          <w:sz w:val="20"/>
          <w:szCs w:val="20"/>
        </w:rPr>
        <w:t>Pri izgradnji komunalne infrastrukture je potrebno upoštevati priporočljive minimalne razdalje približevanja in križanja komunalnih vodov ter njihove varovalne pasove po veljavnih predpisih. Gradnja infrastrukturnih objektov in naprav mora potekati usklajeno.</w:t>
      </w:r>
    </w:p>
    <w:p w:rsidR="00534FD6" w:rsidRPr="00CF1766" w:rsidRDefault="00534FD6" w:rsidP="00534FD6">
      <w:pPr>
        <w:autoSpaceDE w:val="0"/>
        <w:autoSpaceDN w:val="0"/>
        <w:adjustRightInd w:val="0"/>
        <w:rPr>
          <w:rFonts w:cs="Arial"/>
          <w:sz w:val="20"/>
          <w:szCs w:val="20"/>
        </w:rPr>
      </w:pPr>
      <w:r w:rsidRPr="00CF1766">
        <w:rPr>
          <w:rFonts w:cs="Arial"/>
          <w:sz w:val="20"/>
          <w:szCs w:val="20"/>
        </w:rPr>
        <w:t>PROMET</w:t>
      </w:r>
    </w:p>
    <w:p w:rsidR="00534FD6" w:rsidRPr="00CF1766" w:rsidRDefault="00534FD6" w:rsidP="00534FD6">
      <w:pPr>
        <w:autoSpaceDE w:val="0"/>
        <w:autoSpaceDN w:val="0"/>
        <w:adjustRightInd w:val="0"/>
        <w:rPr>
          <w:rFonts w:cs="Arial"/>
          <w:sz w:val="20"/>
          <w:szCs w:val="20"/>
        </w:rPr>
      </w:pPr>
      <w:r w:rsidRPr="00CF1766">
        <w:rPr>
          <w:rFonts w:cs="Arial"/>
          <w:sz w:val="20"/>
          <w:szCs w:val="20"/>
        </w:rPr>
        <w:t xml:space="preserve">Cestno omrežje: </w:t>
      </w:r>
    </w:p>
    <w:p w:rsidR="00534FD6" w:rsidRPr="00CF1766" w:rsidRDefault="00534FD6" w:rsidP="00534FD6">
      <w:pPr>
        <w:autoSpaceDE w:val="0"/>
        <w:autoSpaceDN w:val="0"/>
        <w:adjustRightInd w:val="0"/>
        <w:rPr>
          <w:rFonts w:cs="Arial"/>
          <w:sz w:val="20"/>
          <w:szCs w:val="20"/>
        </w:rPr>
      </w:pPr>
      <w:r w:rsidRPr="00CF1766">
        <w:rPr>
          <w:rFonts w:cs="Arial"/>
          <w:sz w:val="20"/>
          <w:szCs w:val="20"/>
        </w:rPr>
        <w:t>Prometno se območje primarno navezuje na Mlakarjevo ulico (lokalna cesta LZ 390391) preko novo urejenega obstoječega cestnega priključka.</w:t>
      </w:r>
    </w:p>
    <w:p w:rsidR="00534FD6" w:rsidRPr="00CF1766" w:rsidRDefault="00534FD6" w:rsidP="00534FD6">
      <w:pPr>
        <w:autoSpaceDE w:val="0"/>
        <w:autoSpaceDN w:val="0"/>
        <w:adjustRightInd w:val="0"/>
        <w:rPr>
          <w:rFonts w:cs="Arial"/>
          <w:sz w:val="20"/>
          <w:szCs w:val="20"/>
        </w:rPr>
      </w:pPr>
      <w:r w:rsidRPr="00CF1766">
        <w:rPr>
          <w:rFonts w:cs="Arial"/>
          <w:sz w:val="20"/>
          <w:szCs w:val="20"/>
        </w:rPr>
        <w:t>Prečni profili cestnih teles:</w:t>
      </w:r>
    </w:p>
    <w:p w:rsidR="00534FD6" w:rsidRPr="00CF1766" w:rsidRDefault="00534FD6" w:rsidP="00534FD6">
      <w:pPr>
        <w:autoSpaceDE w:val="0"/>
        <w:autoSpaceDN w:val="0"/>
        <w:adjustRightInd w:val="0"/>
        <w:rPr>
          <w:rFonts w:cs="Arial"/>
          <w:sz w:val="20"/>
          <w:szCs w:val="20"/>
        </w:rPr>
      </w:pPr>
      <w:r w:rsidRPr="00CF1766">
        <w:rPr>
          <w:rFonts w:cs="Arial"/>
          <w:sz w:val="20"/>
          <w:szCs w:val="20"/>
        </w:rPr>
        <w:t>Osrednja cesta – cesta A:</w:t>
      </w:r>
      <w:r w:rsidRPr="00CF1766">
        <w:rPr>
          <w:rFonts w:cs="Arial"/>
          <w:sz w:val="20"/>
          <w:szCs w:val="20"/>
        </w:rPr>
        <w:tab/>
        <w:t>vozišče</w:t>
      </w:r>
      <w:r w:rsidRPr="00CF1766">
        <w:rPr>
          <w:rFonts w:cs="Arial"/>
          <w:sz w:val="20"/>
          <w:szCs w:val="20"/>
        </w:rPr>
        <w:tab/>
      </w:r>
      <w:r w:rsidRPr="00CF1766">
        <w:rPr>
          <w:rFonts w:cs="Arial"/>
          <w:sz w:val="20"/>
          <w:szCs w:val="20"/>
        </w:rPr>
        <w:tab/>
      </w:r>
      <w:r w:rsidRPr="00CF1766">
        <w:rPr>
          <w:rFonts w:cs="Arial"/>
          <w:sz w:val="20"/>
          <w:szCs w:val="20"/>
        </w:rPr>
        <w:tab/>
        <w:t>4,50 -5,00 m</w:t>
      </w:r>
    </w:p>
    <w:p w:rsidR="00534FD6" w:rsidRPr="00CF1766" w:rsidRDefault="00534FD6" w:rsidP="00534FD6">
      <w:pPr>
        <w:autoSpaceDE w:val="0"/>
        <w:autoSpaceDN w:val="0"/>
        <w:adjustRightInd w:val="0"/>
        <w:ind w:left="794"/>
        <w:rPr>
          <w:rFonts w:cs="Arial"/>
          <w:sz w:val="20"/>
          <w:szCs w:val="20"/>
        </w:rPr>
      </w:pPr>
      <w:r w:rsidRPr="00CF1766">
        <w:rPr>
          <w:rFonts w:cs="Arial"/>
          <w:sz w:val="20"/>
          <w:szCs w:val="20"/>
        </w:rPr>
        <w:tab/>
      </w:r>
      <w:r w:rsidRPr="00CF1766">
        <w:rPr>
          <w:rFonts w:cs="Arial"/>
          <w:sz w:val="20"/>
          <w:szCs w:val="20"/>
        </w:rPr>
        <w:tab/>
      </w:r>
      <w:r w:rsidRPr="00CF1766">
        <w:rPr>
          <w:rFonts w:cs="Arial"/>
          <w:sz w:val="20"/>
          <w:szCs w:val="20"/>
        </w:rPr>
        <w:tab/>
        <w:t>obojestranska bankina</w:t>
      </w:r>
      <w:r w:rsidRPr="00CF1766">
        <w:rPr>
          <w:rFonts w:cs="Arial"/>
          <w:sz w:val="20"/>
          <w:szCs w:val="20"/>
        </w:rPr>
        <w:tab/>
        <w:t>0,50 m</w:t>
      </w:r>
    </w:p>
    <w:p w:rsidR="00534FD6" w:rsidRPr="00CF1766" w:rsidRDefault="00534FD6" w:rsidP="00534FD6">
      <w:pPr>
        <w:autoSpaceDE w:val="0"/>
        <w:autoSpaceDN w:val="0"/>
        <w:adjustRightInd w:val="0"/>
        <w:rPr>
          <w:rFonts w:cs="Arial"/>
          <w:sz w:val="20"/>
          <w:szCs w:val="20"/>
        </w:rPr>
      </w:pPr>
      <w:r w:rsidRPr="00CF1766">
        <w:rPr>
          <w:rFonts w:cs="Arial"/>
          <w:sz w:val="20"/>
          <w:szCs w:val="20"/>
        </w:rPr>
        <w:t>Stranske ceste:</w:t>
      </w:r>
      <w:r w:rsidRPr="00CF1766">
        <w:rPr>
          <w:rFonts w:cs="Arial"/>
          <w:sz w:val="20"/>
          <w:szCs w:val="20"/>
        </w:rPr>
        <w:tab/>
      </w:r>
      <w:r w:rsidRPr="00CF1766">
        <w:rPr>
          <w:rFonts w:cs="Arial"/>
          <w:sz w:val="20"/>
          <w:szCs w:val="20"/>
        </w:rPr>
        <w:tab/>
        <w:t>vozišče</w:t>
      </w:r>
      <w:r w:rsidRPr="00CF1766">
        <w:rPr>
          <w:rFonts w:cs="Arial"/>
          <w:sz w:val="20"/>
          <w:szCs w:val="20"/>
        </w:rPr>
        <w:tab/>
      </w:r>
      <w:r w:rsidRPr="00CF1766">
        <w:rPr>
          <w:rFonts w:cs="Arial"/>
          <w:sz w:val="20"/>
          <w:szCs w:val="20"/>
        </w:rPr>
        <w:tab/>
      </w:r>
      <w:r w:rsidRPr="00CF1766">
        <w:rPr>
          <w:rFonts w:cs="Arial"/>
          <w:sz w:val="20"/>
          <w:szCs w:val="20"/>
        </w:rPr>
        <w:tab/>
        <w:t>3,50 m do 4,50 m</w:t>
      </w:r>
    </w:p>
    <w:p w:rsidR="00534FD6" w:rsidRPr="00CF1766" w:rsidRDefault="00534FD6" w:rsidP="00534FD6">
      <w:pPr>
        <w:autoSpaceDE w:val="0"/>
        <w:autoSpaceDN w:val="0"/>
        <w:adjustRightInd w:val="0"/>
        <w:ind w:left="794"/>
        <w:rPr>
          <w:rFonts w:cs="Arial"/>
          <w:sz w:val="20"/>
          <w:szCs w:val="20"/>
        </w:rPr>
      </w:pPr>
      <w:r w:rsidRPr="00CF1766">
        <w:rPr>
          <w:rFonts w:cs="Arial"/>
          <w:sz w:val="20"/>
          <w:szCs w:val="20"/>
        </w:rPr>
        <w:tab/>
      </w:r>
      <w:r w:rsidRPr="00CF1766">
        <w:rPr>
          <w:rFonts w:cs="Arial"/>
          <w:sz w:val="20"/>
          <w:szCs w:val="20"/>
        </w:rPr>
        <w:tab/>
      </w:r>
      <w:r w:rsidRPr="00CF1766">
        <w:rPr>
          <w:rFonts w:cs="Arial"/>
          <w:sz w:val="20"/>
          <w:szCs w:val="20"/>
        </w:rPr>
        <w:tab/>
        <w:t>obojestranska bankina</w:t>
      </w:r>
      <w:r w:rsidRPr="00CF1766">
        <w:rPr>
          <w:rFonts w:cs="Arial"/>
          <w:sz w:val="20"/>
          <w:szCs w:val="20"/>
        </w:rPr>
        <w:tab/>
        <w:t xml:space="preserve">0,50 m </w:t>
      </w:r>
    </w:p>
    <w:p w:rsidR="00534FD6" w:rsidRPr="00CF1766" w:rsidRDefault="00534FD6" w:rsidP="00534FD6">
      <w:pPr>
        <w:autoSpaceDE w:val="0"/>
        <w:autoSpaceDN w:val="0"/>
        <w:adjustRightInd w:val="0"/>
        <w:rPr>
          <w:rFonts w:cs="Arial"/>
          <w:sz w:val="20"/>
          <w:szCs w:val="20"/>
        </w:rPr>
      </w:pPr>
      <w:r w:rsidRPr="00CF1766">
        <w:rPr>
          <w:rFonts w:cs="Arial"/>
          <w:sz w:val="20"/>
          <w:szCs w:val="20"/>
        </w:rPr>
        <w:t>Pri načrtovanju prometnih površin je glede na namembnost oz. dejavnost potrebno upoštevati splošna določila OPN-ja.</w:t>
      </w:r>
    </w:p>
    <w:p w:rsidR="00534FD6" w:rsidRPr="00CF1766" w:rsidRDefault="00534FD6" w:rsidP="00534FD6">
      <w:pPr>
        <w:autoSpaceDE w:val="0"/>
        <w:autoSpaceDN w:val="0"/>
        <w:adjustRightInd w:val="0"/>
        <w:rPr>
          <w:rFonts w:cs="Arial"/>
          <w:sz w:val="20"/>
          <w:szCs w:val="20"/>
        </w:rPr>
      </w:pPr>
      <w:r w:rsidRPr="00CF1766">
        <w:rPr>
          <w:rFonts w:cs="Arial"/>
          <w:sz w:val="20"/>
          <w:szCs w:val="20"/>
        </w:rPr>
        <w:t>Na območju pred večstanovanjsko stavbo Mlakarjeva ul. 43a se predvidi ureditev pločnika za pešce.</w:t>
      </w:r>
    </w:p>
    <w:p w:rsidR="00534FD6" w:rsidRPr="00CF1766" w:rsidRDefault="00534FD6" w:rsidP="00534FD6">
      <w:pPr>
        <w:autoSpaceDE w:val="0"/>
        <w:autoSpaceDN w:val="0"/>
        <w:adjustRightInd w:val="0"/>
        <w:rPr>
          <w:rFonts w:cs="Arial"/>
          <w:sz w:val="20"/>
          <w:szCs w:val="20"/>
        </w:rPr>
      </w:pPr>
      <w:r w:rsidRPr="00CF1766">
        <w:rPr>
          <w:rFonts w:cs="Arial"/>
          <w:sz w:val="20"/>
          <w:szCs w:val="20"/>
        </w:rPr>
        <w:t>Mirujoči promet:</w:t>
      </w:r>
    </w:p>
    <w:p w:rsidR="00534FD6" w:rsidRPr="00CF1766" w:rsidRDefault="00534FD6" w:rsidP="00534FD6">
      <w:pPr>
        <w:tabs>
          <w:tab w:val="num" w:pos="709"/>
        </w:tabs>
        <w:autoSpaceDE w:val="0"/>
        <w:autoSpaceDN w:val="0"/>
        <w:adjustRightInd w:val="0"/>
        <w:rPr>
          <w:rFonts w:cs="Arial"/>
          <w:sz w:val="20"/>
          <w:szCs w:val="20"/>
        </w:rPr>
      </w:pPr>
      <w:r w:rsidRPr="00CF1766">
        <w:rPr>
          <w:rFonts w:cs="Arial"/>
          <w:sz w:val="20"/>
          <w:szCs w:val="20"/>
        </w:rPr>
        <w:t>Pri načrtovanju prometnih površin je glede na namembnost oz. dejavnost potrebno upoštevati minimalno število parkirnih mest skladno z določili OPN.</w:t>
      </w:r>
    </w:p>
    <w:p w:rsidR="00534FD6" w:rsidRPr="00CF1766" w:rsidRDefault="00534FD6" w:rsidP="00534FD6">
      <w:pPr>
        <w:autoSpaceDE w:val="0"/>
        <w:autoSpaceDN w:val="0"/>
        <w:adjustRightInd w:val="0"/>
        <w:rPr>
          <w:rFonts w:cs="Arial"/>
          <w:sz w:val="20"/>
          <w:szCs w:val="20"/>
        </w:rPr>
      </w:pPr>
      <w:r w:rsidRPr="00CF1766">
        <w:rPr>
          <w:rFonts w:cs="Arial"/>
          <w:sz w:val="20"/>
          <w:szCs w:val="20"/>
        </w:rPr>
        <w:t>Odmiki predvidene gradnje od ceste:</w:t>
      </w:r>
    </w:p>
    <w:p w:rsidR="00534FD6" w:rsidRPr="00CF1766" w:rsidRDefault="00534FD6" w:rsidP="00534FD6">
      <w:pPr>
        <w:tabs>
          <w:tab w:val="num" w:pos="709"/>
        </w:tabs>
        <w:autoSpaceDE w:val="0"/>
        <w:autoSpaceDN w:val="0"/>
        <w:adjustRightInd w:val="0"/>
        <w:rPr>
          <w:rFonts w:cs="Arial"/>
          <w:sz w:val="20"/>
          <w:szCs w:val="20"/>
        </w:rPr>
      </w:pPr>
      <w:r w:rsidRPr="00CF1766">
        <w:rPr>
          <w:rFonts w:cs="Arial"/>
          <w:sz w:val="20"/>
          <w:szCs w:val="20"/>
        </w:rPr>
        <w:t>Ograja mora biti odmaknjena od roba utrjenih bankin ceste najmanj 0,50 m.</w:t>
      </w:r>
    </w:p>
    <w:p w:rsidR="00534FD6" w:rsidRPr="00CF1766" w:rsidRDefault="00534FD6" w:rsidP="00534FD6">
      <w:pPr>
        <w:tabs>
          <w:tab w:val="num" w:pos="709"/>
        </w:tabs>
        <w:autoSpaceDE w:val="0"/>
        <w:autoSpaceDN w:val="0"/>
        <w:adjustRightInd w:val="0"/>
        <w:rPr>
          <w:rFonts w:cs="Arial"/>
          <w:sz w:val="20"/>
          <w:szCs w:val="20"/>
        </w:rPr>
      </w:pPr>
      <w:r w:rsidRPr="00CF1766">
        <w:rPr>
          <w:rFonts w:cs="Arial"/>
          <w:sz w:val="20"/>
          <w:szCs w:val="20"/>
        </w:rPr>
        <w:t>Odmik najbolj izpostavljenega dela nezahtevnih in enostavnih objektov, projicirane na tla, morajo biti od javnih zemlji</w:t>
      </w:r>
      <w:r w:rsidRPr="00CF1766">
        <w:rPr>
          <w:rFonts w:cs="Arial" w:hint="eastAsia"/>
          <w:sz w:val="20"/>
          <w:szCs w:val="20"/>
        </w:rPr>
        <w:t>šč</w:t>
      </w:r>
      <w:r w:rsidRPr="00CF1766">
        <w:rPr>
          <w:rFonts w:cs="Arial"/>
          <w:sz w:val="20"/>
          <w:szCs w:val="20"/>
        </w:rPr>
        <w:t>, preko katerih potekajo javne ceste ali poti odmaknjene najmanj 1,50 m.</w:t>
      </w:r>
    </w:p>
    <w:p w:rsidR="00534FD6" w:rsidRPr="00CF1766" w:rsidRDefault="00534FD6" w:rsidP="00534FD6">
      <w:pPr>
        <w:autoSpaceDE w:val="0"/>
        <w:autoSpaceDN w:val="0"/>
        <w:adjustRightInd w:val="0"/>
        <w:rPr>
          <w:rFonts w:cs="Arial"/>
          <w:sz w:val="20"/>
          <w:szCs w:val="20"/>
        </w:rPr>
      </w:pPr>
      <w:r w:rsidRPr="00CF1766">
        <w:rPr>
          <w:rFonts w:cs="Arial"/>
          <w:sz w:val="20"/>
          <w:szCs w:val="20"/>
        </w:rPr>
        <w:t>Odmik najbolj izpostavljenega dela stanovanjskih oziroma manj zahtevnih objektov, projiciranih na tla, mora znašati najmanj 4,00 m.</w:t>
      </w:r>
    </w:p>
    <w:p w:rsidR="00534FD6" w:rsidRPr="00CF1766" w:rsidRDefault="00534FD6" w:rsidP="00534FD6">
      <w:pPr>
        <w:rPr>
          <w:sz w:val="20"/>
          <w:szCs w:val="20"/>
        </w:rPr>
      </w:pPr>
      <w:r w:rsidRPr="00CF1766">
        <w:rPr>
          <w:sz w:val="20"/>
          <w:szCs w:val="20"/>
        </w:rPr>
        <w:lastRenderedPageBreak/>
        <w:t>RAVNANJE Z ODPADKI</w:t>
      </w:r>
    </w:p>
    <w:p w:rsidR="00534FD6" w:rsidRPr="00CF1766" w:rsidRDefault="00534FD6" w:rsidP="00534FD6">
      <w:pPr>
        <w:autoSpaceDE w:val="0"/>
        <w:autoSpaceDN w:val="0"/>
        <w:adjustRightInd w:val="0"/>
        <w:rPr>
          <w:rFonts w:cs="Arial"/>
          <w:sz w:val="20"/>
          <w:szCs w:val="20"/>
        </w:rPr>
      </w:pPr>
      <w:r w:rsidRPr="00CF1766">
        <w:rPr>
          <w:rFonts w:cs="Arial"/>
          <w:sz w:val="20"/>
          <w:szCs w:val="20"/>
        </w:rPr>
        <w:t>Za zbiranje odpadkov so predvidene lokacije tipskih zabojnikov – ekološki otok ob tlakovanih uvozih znotraj parcele. V času odvoza odpadkov morajo biti dostopni vozilu pooblaščene organizacije. Zbirna in prevzemna mesta za odpadke so locirana ob cestah A.</w:t>
      </w:r>
    </w:p>
    <w:p w:rsidR="00534FD6" w:rsidRPr="00CF1766" w:rsidRDefault="00534FD6" w:rsidP="00534FD6">
      <w:pPr>
        <w:autoSpaceDE w:val="0"/>
        <w:autoSpaceDN w:val="0"/>
        <w:adjustRightInd w:val="0"/>
        <w:rPr>
          <w:rFonts w:cs="Arial"/>
          <w:sz w:val="20"/>
          <w:szCs w:val="20"/>
        </w:rPr>
      </w:pPr>
      <w:r w:rsidRPr="00CF1766">
        <w:rPr>
          <w:rFonts w:cs="Arial"/>
          <w:sz w:val="20"/>
          <w:szCs w:val="20"/>
        </w:rPr>
        <w:t>Biološke odpadke se odlaga na kompostnike, predvidene na vrtu vsake stanovanjske hiše.</w:t>
      </w:r>
    </w:p>
    <w:p w:rsidR="00534FD6" w:rsidRPr="00CF1766" w:rsidRDefault="00534FD6" w:rsidP="00611D8B">
      <w:pPr>
        <w:autoSpaceDE w:val="0"/>
        <w:autoSpaceDN w:val="0"/>
        <w:adjustRightInd w:val="0"/>
        <w:rPr>
          <w:rFonts w:cs="Arial"/>
          <w:sz w:val="20"/>
          <w:szCs w:val="20"/>
        </w:rPr>
      </w:pPr>
      <w:r w:rsidRPr="00CF1766">
        <w:rPr>
          <w:rFonts w:cs="Arial"/>
          <w:sz w:val="20"/>
          <w:szCs w:val="20"/>
        </w:rPr>
        <w:t xml:space="preserve">Okolju neškodljive </w:t>
      </w:r>
      <w:proofErr w:type="spellStart"/>
      <w:r w:rsidRPr="00CF1766">
        <w:rPr>
          <w:rFonts w:cs="Arial"/>
          <w:sz w:val="20"/>
          <w:szCs w:val="20"/>
        </w:rPr>
        <w:t>rušitvene</w:t>
      </w:r>
      <w:proofErr w:type="spellEnd"/>
      <w:r w:rsidRPr="00CF1766">
        <w:rPr>
          <w:rFonts w:cs="Arial"/>
          <w:sz w:val="20"/>
          <w:szCs w:val="20"/>
        </w:rPr>
        <w:t xml:space="preserve"> in izkopne materiale je treba trajno deponirati izključno na za to določene deponije. V območju se predvidi ekološki otok.</w:t>
      </w:r>
    </w:p>
    <w:p w:rsidR="00534FD6" w:rsidRPr="00CF1766" w:rsidRDefault="00534FD6" w:rsidP="00534FD6">
      <w:pPr>
        <w:autoSpaceDE w:val="0"/>
        <w:autoSpaceDN w:val="0"/>
        <w:adjustRightInd w:val="0"/>
        <w:jc w:val="left"/>
        <w:rPr>
          <w:rFonts w:cs="Arial"/>
          <w:i/>
          <w:sz w:val="20"/>
          <w:szCs w:val="20"/>
          <w:u w:val="single"/>
        </w:rPr>
      </w:pPr>
      <w:r w:rsidRPr="00CF1766">
        <w:rPr>
          <w:rFonts w:cs="Arial"/>
          <w:i/>
          <w:sz w:val="20"/>
          <w:szCs w:val="20"/>
          <w:u w:val="single"/>
        </w:rPr>
        <w:t>Varovanja:</w:t>
      </w:r>
    </w:p>
    <w:p w:rsidR="00534FD6" w:rsidRPr="00CF1766" w:rsidRDefault="00534FD6" w:rsidP="00534FD6">
      <w:pPr>
        <w:autoSpaceDE w:val="0"/>
        <w:autoSpaceDN w:val="0"/>
        <w:adjustRightInd w:val="0"/>
        <w:rPr>
          <w:sz w:val="20"/>
          <w:szCs w:val="20"/>
        </w:rPr>
      </w:pPr>
      <w:r w:rsidRPr="00CF1766">
        <w:rPr>
          <w:sz w:val="20"/>
          <w:szCs w:val="20"/>
        </w:rPr>
        <w:t>Načrtovana ureditev se nahaja v vplivnem območju enote kulturne dediščine – Vas (EŠD 14469).</w:t>
      </w:r>
    </w:p>
    <w:p w:rsidR="00534FD6" w:rsidRPr="00CF1766" w:rsidRDefault="00534FD6" w:rsidP="00534FD6">
      <w:pPr>
        <w:autoSpaceDE w:val="0"/>
        <w:autoSpaceDN w:val="0"/>
        <w:adjustRightInd w:val="0"/>
        <w:rPr>
          <w:rFonts w:cs="Arial"/>
          <w:sz w:val="20"/>
          <w:szCs w:val="20"/>
        </w:rPr>
      </w:pPr>
      <w:r w:rsidRPr="00CF1766">
        <w:rPr>
          <w:rFonts w:cs="Arial"/>
          <w:sz w:val="20"/>
          <w:szCs w:val="20"/>
        </w:rPr>
        <w:t>Rešitve v OPPN tudi zaradi varstva kulturne dediščine upoštevajo silhuete naselja in ohranjanje cerkve kot prostorske dominante. OPPN ne predvideva posegov v območju Domačije Mlakarjeva 45, ki ostaja samostojna zaključena celota. Ločenost je poudarjena z načrtovano visokodebelno vegetacijo.</w:t>
      </w:r>
    </w:p>
    <w:p w:rsidR="00534FD6" w:rsidRPr="00CF1766" w:rsidRDefault="00534FD6" w:rsidP="00534FD6">
      <w:pPr>
        <w:rPr>
          <w:sz w:val="20"/>
          <w:szCs w:val="20"/>
        </w:rPr>
      </w:pPr>
      <w:r w:rsidRPr="00CF1766">
        <w:rPr>
          <w:sz w:val="20"/>
          <w:szCs w:val="20"/>
        </w:rPr>
        <w:t>Rešitve in ukrepi za varovanje okolja, ohranjevanje narave, varstvo kulturne dediščine, trajnostno rabo naravnih dobrin, rešitve in ukrepi za obrambo ter varstvo pred naravnimi in drugimi nesrečami so usklajene s pridobljenimi mnenji in zakonodajo.</w:t>
      </w:r>
    </w:p>
    <w:p w:rsidR="009A1884" w:rsidRPr="00CF1766" w:rsidRDefault="009A1884" w:rsidP="001E2D15">
      <w:pPr>
        <w:autoSpaceDE w:val="0"/>
        <w:autoSpaceDN w:val="0"/>
        <w:adjustRightInd w:val="0"/>
        <w:rPr>
          <w:rFonts w:cs="Arial"/>
          <w:sz w:val="20"/>
          <w:szCs w:val="20"/>
        </w:rPr>
      </w:pPr>
    </w:p>
    <w:p w:rsidR="009A1884" w:rsidRPr="00CF1766" w:rsidRDefault="009A1884" w:rsidP="00E10D22">
      <w:pPr>
        <w:autoSpaceDE w:val="0"/>
        <w:autoSpaceDN w:val="0"/>
        <w:adjustRightInd w:val="0"/>
        <w:outlineLvl w:val="0"/>
        <w:rPr>
          <w:rFonts w:cs="Arial"/>
          <w:b/>
          <w:i/>
          <w:sz w:val="20"/>
          <w:szCs w:val="20"/>
          <w:u w:val="single"/>
        </w:rPr>
      </w:pPr>
      <w:r w:rsidRPr="00CF1766">
        <w:rPr>
          <w:rFonts w:cs="Arial"/>
          <w:b/>
          <w:i/>
          <w:sz w:val="20"/>
          <w:szCs w:val="20"/>
          <w:u w:val="single"/>
        </w:rPr>
        <w:t>FINANČNE POSLEDICE:</w:t>
      </w:r>
    </w:p>
    <w:p w:rsidR="009A1884" w:rsidRPr="00CF1766" w:rsidRDefault="009A1884" w:rsidP="00E10D22">
      <w:pPr>
        <w:autoSpaceDE w:val="0"/>
        <w:autoSpaceDN w:val="0"/>
        <w:adjustRightInd w:val="0"/>
        <w:outlineLvl w:val="0"/>
        <w:rPr>
          <w:rFonts w:cs="Arial"/>
          <w:sz w:val="20"/>
          <w:szCs w:val="20"/>
        </w:rPr>
      </w:pPr>
      <w:r w:rsidRPr="00CF1766">
        <w:rPr>
          <w:rFonts w:cs="Arial"/>
          <w:sz w:val="20"/>
          <w:szCs w:val="20"/>
        </w:rPr>
        <w:t>S sprejemom OPPN za občino ne bo finančnih obveznosti.</w:t>
      </w:r>
    </w:p>
    <w:p w:rsidR="009A1884" w:rsidRPr="00CF1766" w:rsidRDefault="009A1884" w:rsidP="001E2D15">
      <w:pPr>
        <w:autoSpaceDE w:val="0"/>
        <w:autoSpaceDN w:val="0"/>
        <w:adjustRightInd w:val="0"/>
        <w:rPr>
          <w:rFonts w:cs="Arial"/>
          <w:sz w:val="20"/>
          <w:szCs w:val="20"/>
        </w:rPr>
      </w:pPr>
    </w:p>
    <w:p w:rsidR="009A1884" w:rsidRPr="00CF1766" w:rsidRDefault="009A1884" w:rsidP="00E10D22">
      <w:pPr>
        <w:autoSpaceDE w:val="0"/>
        <w:autoSpaceDN w:val="0"/>
        <w:adjustRightInd w:val="0"/>
        <w:outlineLvl w:val="0"/>
        <w:rPr>
          <w:rFonts w:cs="Arial"/>
          <w:b/>
          <w:i/>
          <w:sz w:val="20"/>
          <w:szCs w:val="20"/>
          <w:u w:val="single"/>
        </w:rPr>
      </w:pPr>
      <w:r w:rsidRPr="00CF1766">
        <w:rPr>
          <w:rFonts w:cs="Arial"/>
          <w:b/>
          <w:i/>
          <w:sz w:val="20"/>
          <w:szCs w:val="20"/>
          <w:u w:val="single"/>
        </w:rPr>
        <w:t>PREDLOG SKLEPA:</w:t>
      </w:r>
    </w:p>
    <w:p w:rsidR="009A1884" w:rsidRPr="00CF1766" w:rsidRDefault="009A1884" w:rsidP="001E2D15">
      <w:pPr>
        <w:autoSpaceDE w:val="0"/>
        <w:autoSpaceDN w:val="0"/>
        <w:adjustRightInd w:val="0"/>
        <w:rPr>
          <w:rFonts w:cs="Arial"/>
          <w:sz w:val="20"/>
          <w:szCs w:val="20"/>
        </w:rPr>
      </w:pPr>
      <w:r w:rsidRPr="00CF1766">
        <w:rPr>
          <w:rFonts w:cs="Arial"/>
          <w:sz w:val="20"/>
          <w:szCs w:val="20"/>
        </w:rPr>
        <w:t>Občinskemu svetu Občine Šenčur predlagamo, da po obravnavani sprejme sklep:</w:t>
      </w:r>
    </w:p>
    <w:p w:rsidR="009A1884" w:rsidRPr="00CF1766" w:rsidRDefault="009A1884" w:rsidP="001E2D15">
      <w:pPr>
        <w:autoSpaceDE w:val="0"/>
        <w:autoSpaceDN w:val="0"/>
        <w:adjustRightInd w:val="0"/>
        <w:rPr>
          <w:rFonts w:cs="Arial"/>
          <w:sz w:val="20"/>
          <w:szCs w:val="20"/>
        </w:rPr>
      </w:pPr>
    </w:p>
    <w:p w:rsidR="009A1884" w:rsidRPr="00CF1766" w:rsidRDefault="009A1884" w:rsidP="001E2D15">
      <w:pPr>
        <w:autoSpaceDE w:val="0"/>
        <w:autoSpaceDN w:val="0"/>
        <w:adjustRightInd w:val="0"/>
        <w:rPr>
          <w:rFonts w:cs="Arial"/>
          <w:sz w:val="20"/>
          <w:szCs w:val="20"/>
        </w:rPr>
      </w:pPr>
      <w:r w:rsidRPr="00CF1766">
        <w:rPr>
          <w:rFonts w:cs="Arial"/>
          <w:sz w:val="20"/>
          <w:szCs w:val="20"/>
        </w:rPr>
        <w:t xml:space="preserve">»Sprejme se dopolnjen predlog (druga </w:t>
      </w:r>
      <w:r w:rsidR="00EC5E4F" w:rsidRPr="00CF1766">
        <w:rPr>
          <w:rFonts w:cs="Arial"/>
          <w:sz w:val="20"/>
          <w:szCs w:val="20"/>
        </w:rPr>
        <w:t>obravnava) ODLOKA</w:t>
      </w:r>
      <w:r w:rsidRPr="00CF1766">
        <w:rPr>
          <w:rFonts w:cs="Arial"/>
          <w:sz w:val="20"/>
          <w:szCs w:val="20"/>
        </w:rPr>
        <w:t xml:space="preserve"> Občinskega podrobnega prostorskega načrta </w:t>
      </w:r>
      <w:r w:rsidR="00534FD6" w:rsidRPr="00CF1766">
        <w:rPr>
          <w:rFonts w:cs="Arial"/>
          <w:sz w:val="20"/>
          <w:szCs w:val="20"/>
        </w:rPr>
        <w:t xml:space="preserve">ŠE-33 </w:t>
      </w:r>
      <w:proofErr w:type="spellStart"/>
      <w:r w:rsidR="00534FD6" w:rsidRPr="00CF1766">
        <w:rPr>
          <w:rFonts w:cs="Arial"/>
          <w:sz w:val="20"/>
          <w:szCs w:val="20"/>
        </w:rPr>
        <w:t>SSe</w:t>
      </w:r>
      <w:proofErr w:type="spellEnd"/>
      <w:r w:rsidRPr="00CF1766">
        <w:rPr>
          <w:rFonts w:cs="Arial"/>
          <w:sz w:val="20"/>
          <w:szCs w:val="20"/>
        </w:rPr>
        <w:t>«</w:t>
      </w:r>
    </w:p>
    <w:p w:rsidR="009A1884" w:rsidRPr="00CF1766" w:rsidRDefault="009A1884" w:rsidP="001E2D15">
      <w:pPr>
        <w:autoSpaceDE w:val="0"/>
        <w:autoSpaceDN w:val="0"/>
        <w:adjustRightInd w:val="0"/>
        <w:rPr>
          <w:rFonts w:cs="Arial"/>
          <w:sz w:val="20"/>
          <w:szCs w:val="20"/>
        </w:rPr>
      </w:pPr>
    </w:p>
    <w:p w:rsidR="009A1884" w:rsidRPr="00CF1766" w:rsidRDefault="009A1884" w:rsidP="001E2D15">
      <w:pPr>
        <w:autoSpaceDE w:val="0"/>
        <w:autoSpaceDN w:val="0"/>
        <w:adjustRightInd w:val="0"/>
        <w:rPr>
          <w:rFonts w:cs="Arial"/>
          <w:sz w:val="20"/>
          <w:szCs w:val="20"/>
        </w:rPr>
      </w:pPr>
    </w:p>
    <w:p w:rsidR="009A1884" w:rsidRPr="00CF1766" w:rsidRDefault="009A1884" w:rsidP="001E2D15">
      <w:pPr>
        <w:autoSpaceDE w:val="0"/>
        <w:autoSpaceDN w:val="0"/>
        <w:adjustRightInd w:val="0"/>
        <w:rPr>
          <w:rFonts w:cs="Arial"/>
          <w:sz w:val="20"/>
          <w:szCs w:val="20"/>
        </w:rPr>
      </w:pPr>
    </w:p>
    <w:p w:rsidR="009A1884" w:rsidRPr="00CF1766" w:rsidRDefault="009A1884" w:rsidP="001E2D15">
      <w:pPr>
        <w:autoSpaceDE w:val="0"/>
        <w:autoSpaceDN w:val="0"/>
        <w:adjustRightInd w:val="0"/>
        <w:rPr>
          <w:rFonts w:cs="Arial"/>
          <w:sz w:val="20"/>
          <w:szCs w:val="20"/>
        </w:rPr>
      </w:pPr>
      <w:r w:rsidRPr="00CF1766">
        <w:rPr>
          <w:rFonts w:cs="Arial"/>
          <w:sz w:val="20"/>
          <w:szCs w:val="20"/>
        </w:rPr>
        <w:t>Pripravil</w:t>
      </w:r>
      <w:r w:rsidR="00545EEE" w:rsidRPr="00CF1766">
        <w:rPr>
          <w:rFonts w:cs="Arial"/>
          <w:sz w:val="20"/>
          <w:szCs w:val="20"/>
        </w:rPr>
        <w:t>i</w:t>
      </w:r>
      <w:r w:rsidRPr="00CF1766">
        <w:rPr>
          <w:rFonts w:cs="Arial"/>
          <w:sz w:val="20"/>
          <w:szCs w:val="20"/>
        </w:rPr>
        <w:t>:</w:t>
      </w:r>
    </w:p>
    <w:p w:rsidR="009A1884" w:rsidRPr="00CF1766" w:rsidRDefault="00EC5E4F" w:rsidP="001E2D15">
      <w:pPr>
        <w:autoSpaceDE w:val="0"/>
        <w:autoSpaceDN w:val="0"/>
        <w:adjustRightInd w:val="0"/>
        <w:rPr>
          <w:rFonts w:cs="Arial"/>
          <w:sz w:val="20"/>
          <w:szCs w:val="20"/>
        </w:rPr>
      </w:pPr>
      <w:r w:rsidRPr="00CF1766">
        <w:rPr>
          <w:rFonts w:cs="Arial"/>
          <w:sz w:val="20"/>
          <w:szCs w:val="20"/>
        </w:rPr>
        <w:t>Irena Križaj</w:t>
      </w:r>
      <w:r w:rsidR="009A1884" w:rsidRPr="00CF1766">
        <w:rPr>
          <w:rFonts w:cs="Arial"/>
          <w:sz w:val="20"/>
          <w:szCs w:val="20"/>
        </w:rPr>
        <w:t>, univ.dipl.inž.arh.</w:t>
      </w:r>
    </w:p>
    <w:p w:rsidR="00EC5E4F" w:rsidRPr="00CF1766" w:rsidRDefault="00EC5E4F" w:rsidP="00EC5E4F">
      <w:pPr>
        <w:autoSpaceDE w:val="0"/>
        <w:autoSpaceDN w:val="0"/>
        <w:adjustRightInd w:val="0"/>
        <w:rPr>
          <w:rFonts w:cs="Arial"/>
          <w:sz w:val="20"/>
          <w:szCs w:val="20"/>
        </w:rPr>
      </w:pPr>
      <w:r w:rsidRPr="00CF1766">
        <w:rPr>
          <w:rFonts w:cs="Arial"/>
          <w:sz w:val="20"/>
          <w:szCs w:val="20"/>
        </w:rPr>
        <w:t>Alenka Jesenko, inž. grad.</w:t>
      </w:r>
    </w:p>
    <w:p w:rsidR="009A1884" w:rsidRPr="00CF1766" w:rsidRDefault="009A1884">
      <w:pPr>
        <w:rPr>
          <w:rFonts w:cs="Arial"/>
          <w:sz w:val="20"/>
          <w:szCs w:val="20"/>
        </w:rPr>
      </w:pPr>
    </w:p>
    <w:p w:rsidR="009A1884" w:rsidRPr="00CF1766" w:rsidRDefault="009A1884">
      <w:pPr>
        <w:rPr>
          <w:rFonts w:cs="Arial"/>
          <w:sz w:val="20"/>
          <w:szCs w:val="20"/>
        </w:rPr>
      </w:pPr>
    </w:p>
    <w:p w:rsidR="009A1884" w:rsidRPr="00CF1766" w:rsidRDefault="009A1884" w:rsidP="00E10D22">
      <w:pPr>
        <w:outlineLvl w:val="0"/>
        <w:rPr>
          <w:rFonts w:cs="Arial"/>
          <w:b/>
          <w:sz w:val="20"/>
          <w:szCs w:val="20"/>
        </w:rPr>
      </w:pPr>
      <w:r w:rsidRPr="00CF1766">
        <w:rPr>
          <w:rFonts w:cs="Arial"/>
          <w:sz w:val="20"/>
          <w:szCs w:val="20"/>
        </w:rPr>
        <w:tab/>
      </w:r>
      <w:r w:rsidRPr="00CF1766">
        <w:rPr>
          <w:rFonts w:cs="Arial"/>
          <w:sz w:val="20"/>
          <w:szCs w:val="20"/>
        </w:rPr>
        <w:tab/>
      </w:r>
      <w:r w:rsidRPr="00CF1766">
        <w:rPr>
          <w:rFonts w:cs="Arial"/>
          <w:sz w:val="20"/>
          <w:szCs w:val="20"/>
        </w:rPr>
        <w:tab/>
      </w:r>
      <w:r w:rsidRPr="00CF1766">
        <w:rPr>
          <w:rFonts w:cs="Arial"/>
          <w:sz w:val="20"/>
          <w:szCs w:val="20"/>
        </w:rPr>
        <w:tab/>
      </w:r>
      <w:r w:rsidRPr="00CF1766">
        <w:rPr>
          <w:rFonts w:cs="Arial"/>
          <w:sz w:val="20"/>
          <w:szCs w:val="20"/>
        </w:rPr>
        <w:tab/>
      </w:r>
      <w:r w:rsidRPr="00CF1766">
        <w:rPr>
          <w:rFonts w:cs="Arial"/>
          <w:sz w:val="20"/>
          <w:szCs w:val="20"/>
        </w:rPr>
        <w:tab/>
      </w:r>
      <w:r w:rsidRPr="00CF1766">
        <w:rPr>
          <w:rFonts w:cs="Arial"/>
          <w:sz w:val="20"/>
          <w:szCs w:val="20"/>
        </w:rPr>
        <w:tab/>
      </w:r>
      <w:r w:rsidRPr="00CF1766">
        <w:rPr>
          <w:rFonts w:cs="Arial"/>
          <w:sz w:val="20"/>
          <w:szCs w:val="20"/>
        </w:rPr>
        <w:tab/>
      </w:r>
      <w:r w:rsidR="00BF0096" w:rsidRPr="00CF1766">
        <w:rPr>
          <w:rFonts w:cs="Arial"/>
          <w:b/>
          <w:sz w:val="20"/>
          <w:szCs w:val="20"/>
        </w:rPr>
        <w:t>CIRIL KOZJEK</w:t>
      </w:r>
    </w:p>
    <w:p w:rsidR="009A1884" w:rsidRPr="00CF1766" w:rsidRDefault="009A1884" w:rsidP="00E10D22">
      <w:pPr>
        <w:outlineLvl w:val="0"/>
        <w:rPr>
          <w:rFonts w:cs="Arial"/>
          <w:b/>
          <w:sz w:val="20"/>
          <w:szCs w:val="20"/>
        </w:rPr>
      </w:pPr>
      <w:r w:rsidRPr="00CF1766">
        <w:rPr>
          <w:rFonts w:cs="Arial"/>
          <w:b/>
          <w:sz w:val="20"/>
          <w:szCs w:val="20"/>
        </w:rPr>
        <w:tab/>
      </w:r>
      <w:r w:rsidRPr="00CF1766">
        <w:rPr>
          <w:rFonts w:cs="Arial"/>
          <w:b/>
          <w:sz w:val="20"/>
          <w:szCs w:val="20"/>
        </w:rPr>
        <w:tab/>
      </w:r>
      <w:r w:rsidRPr="00CF1766">
        <w:rPr>
          <w:rFonts w:cs="Arial"/>
          <w:b/>
          <w:sz w:val="20"/>
          <w:szCs w:val="20"/>
        </w:rPr>
        <w:tab/>
      </w:r>
      <w:r w:rsidRPr="00CF1766">
        <w:rPr>
          <w:rFonts w:cs="Arial"/>
          <w:b/>
          <w:sz w:val="20"/>
          <w:szCs w:val="20"/>
        </w:rPr>
        <w:tab/>
      </w:r>
      <w:r w:rsidRPr="00CF1766">
        <w:rPr>
          <w:rFonts w:cs="Arial"/>
          <w:b/>
          <w:sz w:val="20"/>
          <w:szCs w:val="20"/>
        </w:rPr>
        <w:tab/>
      </w:r>
      <w:r w:rsidRPr="00CF1766">
        <w:rPr>
          <w:rFonts w:cs="Arial"/>
          <w:b/>
          <w:sz w:val="20"/>
          <w:szCs w:val="20"/>
        </w:rPr>
        <w:tab/>
      </w:r>
      <w:r w:rsidRPr="00CF1766">
        <w:rPr>
          <w:rFonts w:cs="Arial"/>
          <w:b/>
          <w:sz w:val="20"/>
          <w:szCs w:val="20"/>
        </w:rPr>
        <w:tab/>
      </w:r>
      <w:r w:rsidRPr="00CF1766">
        <w:rPr>
          <w:rFonts w:cs="Arial"/>
          <w:b/>
          <w:sz w:val="20"/>
          <w:szCs w:val="20"/>
        </w:rPr>
        <w:tab/>
        <w:t xml:space="preserve">      ŽUPAN</w:t>
      </w:r>
    </w:p>
    <w:sectPr w:rsidR="009A1884" w:rsidRPr="00CF1766" w:rsidSect="00A85C7E">
      <w:headerReference w:type="default" r:id="rId9"/>
      <w:footerReference w:type="default" r:id="rId10"/>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73" w:rsidRDefault="005A1C73">
      <w:r>
        <w:separator/>
      </w:r>
    </w:p>
  </w:endnote>
  <w:endnote w:type="continuationSeparator" w:id="0">
    <w:p w:rsidR="005A1C73" w:rsidRDefault="005A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84" w:rsidRDefault="00A94095" w:rsidP="00995C3E">
    <w:pPr>
      <w:pStyle w:val="Noga"/>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83185</wp:posOffset>
              </wp:positionV>
              <wp:extent cx="5788025" cy="0"/>
              <wp:effectExtent l="9525" t="6985" r="1270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8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08EF"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mfGAIAADMEAAAOAAAAZHJzL2Uyb0RvYy54bWysU02P2yAQvVfqf0DcE3/UyW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" strokeweight="1pt"/>
          </w:pict>
        </mc:Fallback>
      </mc:AlternateContent>
    </w:r>
  </w:p>
  <w:p w:rsidR="009A1884" w:rsidRDefault="009151C0" w:rsidP="00995C3E">
    <w:pPr>
      <w:pStyle w:val="Noga"/>
      <w:jc w:val="right"/>
    </w:pPr>
    <w:r>
      <w:rPr>
        <w:rStyle w:val="tevilkastrani"/>
      </w:rPr>
      <w:fldChar w:fldCharType="begin"/>
    </w:r>
    <w:r w:rsidR="009A1884">
      <w:rPr>
        <w:rStyle w:val="tevilkastrani"/>
      </w:rPr>
      <w:instrText xml:space="preserve"> PAGE </w:instrText>
    </w:r>
    <w:r>
      <w:rPr>
        <w:rStyle w:val="tevilkastrani"/>
      </w:rPr>
      <w:fldChar w:fldCharType="separate"/>
    </w:r>
    <w:r w:rsidR="008B0EBD">
      <w:rPr>
        <w:rStyle w:val="tevilkastrani"/>
        <w:noProof/>
      </w:rPr>
      <w:t>4</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73" w:rsidRDefault="005A1C73">
      <w:r>
        <w:separator/>
      </w:r>
    </w:p>
  </w:footnote>
  <w:footnote w:type="continuationSeparator" w:id="0">
    <w:p w:rsidR="005A1C73" w:rsidRDefault="005A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84" w:rsidRPr="00E73486" w:rsidRDefault="00E07A67" w:rsidP="00995C3E">
    <w:pPr>
      <w:pStyle w:val="Glava"/>
      <w:jc w:val="right"/>
      <w:rPr>
        <w:rFonts w:ascii="AvantGarde Bk BT" w:hAnsi="AvantGarde Bk BT"/>
        <w:b/>
        <w:color w:val="800000"/>
        <w:sz w:val="24"/>
      </w:rPr>
    </w:pPr>
    <w:r>
      <w:rPr>
        <w:rFonts w:ascii="AvantGarde Bk BT" w:hAnsi="AvantGarde Bk BT"/>
        <w:b/>
        <w:noProof/>
        <w:color w:val="800000"/>
        <w:sz w:val="24"/>
      </w:rPr>
      <w:t>usklajen</w:t>
    </w:r>
    <w:r w:rsidR="009A1884">
      <w:rPr>
        <w:rFonts w:ascii="AvantGarde Bk BT" w:hAnsi="AvantGarde Bk BT"/>
        <w:b/>
        <w:noProof/>
        <w:color w:val="800000"/>
        <w:sz w:val="24"/>
      </w:rPr>
      <w:t xml:space="preserve"> predlog - obrazložitev</w:t>
    </w:r>
  </w:p>
  <w:p w:rsidR="009A1884" w:rsidRPr="00576B4A" w:rsidRDefault="00A94095" w:rsidP="00995C3E">
    <w:pPr>
      <w:pStyle w:val="Glava"/>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60325</wp:posOffset>
              </wp:positionV>
              <wp:extent cx="5788025" cy="0"/>
              <wp:effectExtent l="9525" t="12700" r="12700"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8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4CD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55.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" strokeweight="1pt"/>
          </w:pict>
        </mc:Fallback>
      </mc:AlternateContent>
    </w:r>
  </w:p>
  <w:p w:rsidR="009A1884" w:rsidRDefault="009A188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C014404A"/>
    <w:lvl w:ilvl="0">
      <w:start w:val="1"/>
      <w:numFmt w:val="decimal"/>
      <w:pStyle w:val="Odlok-len-tekst"/>
      <w:lvlText w:val="(%1)"/>
      <w:lvlJc w:val="left"/>
      <w:pPr>
        <w:tabs>
          <w:tab w:val="num" w:pos="0"/>
        </w:tabs>
        <w:ind w:left="0" w:firstLine="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87BE9"/>
    <w:multiLevelType w:val="hybridMultilevel"/>
    <w:tmpl w:val="F87C3E44"/>
    <w:lvl w:ilvl="0" w:tplc="8916797E">
      <w:start w:val="1"/>
      <w:numFmt w:val="decimal"/>
      <w:lvlText w:val="(%1)"/>
      <w:lvlJc w:val="left"/>
      <w:pPr>
        <w:tabs>
          <w:tab w:val="num" w:pos="397"/>
        </w:tabs>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324E2"/>
    <w:multiLevelType w:val="hybridMultilevel"/>
    <w:tmpl w:val="72A473D2"/>
    <w:lvl w:ilvl="0" w:tplc="C3D44DBE">
      <w:start w:val="1"/>
      <w:numFmt w:val="decimal"/>
      <w:lvlText w:val="(%1)"/>
      <w:lvlJc w:val="left"/>
      <w:pPr>
        <w:tabs>
          <w:tab w:val="num" w:pos="397"/>
        </w:tabs>
        <w:ind w:left="0" w:firstLine="0"/>
      </w:pPr>
      <w:rPr>
        <w:rFonts w:ascii="Arial" w:hAnsi="Arial" w:hint="default"/>
        <w:b w:val="0"/>
        <w:i w:val="0"/>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DE5440"/>
    <w:multiLevelType w:val="hybridMultilevel"/>
    <w:tmpl w:val="C5D4FDDA"/>
    <w:lvl w:ilvl="0" w:tplc="8916797E">
      <w:start w:val="1"/>
      <w:numFmt w:val="decimal"/>
      <w:lvlText w:val="(%1)"/>
      <w:lvlJc w:val="left"/>
      <w:pPr>
        <w:tabs>
          <w:tab w:val="num" w:pos="397"/>
        </w:tabs>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11591D"/>
    <w:multiLevelType w:val="hybridMultilevel"/>
    <w:tmpl w:val="09C4E5F6"/>
    <w:lvl w:ilvl="0" w:tplc="146A9186">
      <w:start w:val="8"/>
      <w:numFmt w:val="bullet"/>
      <w:lvlText w:val="-"/>
      <w:lvlJc w:val="left"/>
      <w:pPr>
        <w:tabs>
          <w:tab w:val="num" w:pos="227"/>
        </w:tabs>
        <w:ind w:left="227" w:hanging="227"/>
      </w:pPr>
      <w:rPr>
        <w:rFonts w:ascii="Times New Roman" w:eastAsia="Times New Roman" w:hAnsi="Times New Roman" w:hint="default"/>
        <w:b/>
        <w:sz w:val="18"/>
      </w:rPr>
    </w:lvl>
    <w:lvl w:ilvl="1" w:tplc="04240003" w:tentative="1">
      <w:start w:val="1"/>
      <w:numFmt w:val="bullet"/>
      <w:lvlText w:val="o"/>
      <w:lvlJc w:val="left"/>
      <w:pPr>
        <w:tabs>
          <w:tab w:val="num" w:pos="1015"/>
        </w:tabs>
        <w:ind w:left="1015" w:hanging="360"/>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5" w15:restartNumberingAfterBreak="0">
    <w:nsid w:val="17B112C0"/>
    <w:multiLevelType w:val="hybridMultilevel"/>
    <w:tmpl w:val="1EA059A4"/>
    <w:lvl w:ilvl="0" w:tplc="6922A9D8">
      <w:start w:val="1"/>
      <w:numFmt w:val="decimal"/>
      <w:lvlText w:val="(%1)"/>
      <w:lvlJc w:val="left"/>
      <w:pPr>
        <w:tabs>
          <w:tab w:val="num" w:pos="397"/>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4735DC"/>
    <w:multiLevelType w:val="hybridMultilevel"/>
    <w:tmpl w:val="ED60FCC8"/>
    <w:lvl w:ilvl="0" w:tplc="109A327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FB459B"/>
    <w:multiLevelType w:val="hybridMultilevel"/>
    <w:tmpl w:val="01580014"/>
    <w:lvl w:ilvl="0" w:tplc="D6507BFE">
      <w:start w:val="6"/>
      <w:numFmt w:val="bullet"/>
      <w:lvlText w:val="-"/>
      <w:lvlJc w:val="left"/>
      <w:pPr>
        <w:tabs>
          <w:tab w:val="num" w:pos="227"/>
        </w:tabs>
        <w:ind w:left="227" w:hanging="227"/>
      </w:pPr>
      <w:rPr>
        <w:rFonts w:ascii="Times New Roman" w:eastAsia="Times New Roman" w:hAnsi="Times New Roman" w:cs="Times New Roman" w:hint="default"/>
        <w:b/>
        <w:sz w:val="18"/>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335175D0"/>
    <w:multiLevelType w:val="hybridMultilevel"/>
    <w:tmpl w:val="2BB8A9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50FC"/>
    <w:multiLevelType w:val="hybridMultilevel"/>
    <w:tmpl w:val="10944E7A"/>
    <w:lvl w:ilvl="0" w:tplc="8916797E">
      <w:start w:val="1"/>
      <w:numFmt w:val="decimal"/>
      <w:lvlText w:val="(%1)"/>
      <w:lvlJc w:val="left"/>
      <w:pPr>
        <w:tabs>
          <w:tab w:val="num" w:pos="397"/>
        </w:tabs>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5F5D92"/>
    <w:multiLevelType w:val="hybridMultilevel"/>
    <w:tmpl w:val="3202E224"/>
    <w:lvl w:ilvl="0" w:tplc="394A1AD6">
      <w:start w:val="1"/>
      <w:numFmt w:val="decimal"/>
      <w:lvlText w:val="(%1)"/>
      <w:lvlJc w:val="left"/>
      <w:pPr>
        <w:tabs>
          <w:tab w:val="num" w:pos="397"/>
        </w:tabs>
      </w:pPr>
      <w:rPr>
        <w:rFonts w:ascii="Arial" w:hAnsi="Arial" w:cs="Times New Roman" w:hint="default"/>
        <w:b w:val="0"/>
        <w:i w:val="0"/>
        <w:strike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8542B0"/>
    <w:multiLevelType w:val="hybridMultilevel"/>
    <w:tmpl w:val="F72E5D90"/>
    <w:lvl w:ilvl="0" w:tplc="04240013">
      <w:start w:val="1"/>
      <w:numFmt w:val="upperRoman"/>
      <w:lvlText w:val="%1."/>
      <w:lvlJc w:val="right"/>
      <w:pPr>
        <w:tabs>
          <w:tab w:val="num" w:pos="540"/>
        </w:tabs>
        <w:ind w:left="540" w:hanging="180"/>
      </w:pPr>
      <w:rPr>
        <w:rFonts w:cs="Times New Roman"/>
      </w:rPr>
    </w:lvl>
    <w:lvl w:ilvl="1" w:tplc="B87CE700">
      <w:start w:val="2"/>
      <w:numFmt w:val="decimal"/>
      <w:lvlText w:val="%2."/>
      <w:lvlJc w:val="left"/>
      <w:pPr>
        <w:tabs>
          <w:tab w:val="num" w:pos="1440"/>
        </w:tabs>
        <w:ind w:left="1440" w:hanging="360"/>
      </w:pPr>
      <w:rPr>
        <w:rFonts w:cs="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AD5CD3"/>
    <w:multiLevelType w:val="hybridMultilevel"/>
    <w:tmpl w:val="29E458A2"/>
    <w:lvl w:ilvl="0" w:tplc="146A9186">
      <w:start w:val="8"/>
      <w:numFmt w:val="bullet"/>
      <w:lvlText w:val="-"/>
      <w:lvlJc w:val="left"/>
      <w:pPr>
        <w:tabs>
          <w:tab w:val="num" w:pos="227"/>
        </w:tabs>
        <w:ind w:left="227" w:hanging="227"/>
      </w:pPr>
      <w:rPr>
        <w:rFonts w:ascii="Times New Roman" w:eastAsia="Times New Roman" w:hAnsi="Times New Roman" w:hint="default"/>
        <w:b/>
        <w:sz w:val="18"/>
      </w:rPr>
    </w:lvl>
    <w:lvl w:ilvl="1" w:tplc="04240003" w:tentative="1">
      <w:start w:val="1"/>
      <w:numFmt w:val="bullet"/>
      <w:lvlText w:val="o"/>
      <w:lvlJc w:val="left"/>
      <w:pPr>
        <w:tabs>
          <w:tab w:val="num" w:pos="1015"/>
        </w:tabs>
        <w:ind w:left="1015" w:hanging="360"/>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79CF57D1"/>
    <w:multiLevelType w:val="hybridMultilevel"/>
    <w:tmpl w:val="909A0608"/>
    <w:lvl w:ilvl="0" w:tplc="8916797E">
      <w:start w:val="1"/>
      <w:numFmt w:val="decimal"/>
      <w:lvlText w:val="(%1)"/>
      <w:lvlJc w:val="left"/>
      <w:pPr>
        <w:tabs>
          <w:tab w:val="num" w:pos="397"/>
        </w:tabs>
      </w:pPr>
      <w:rPr>
        <w:rFonts w:ascii="Arial" w:hAnsi="Arial" w:cs="Times New Roman" w:hint="default"/>
        <w:b w:val="0"/>
        <w:i w:val="0"/>
        <w:sz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222180"/>
    <w:multiLevelType w:val="hybridMultilevel"/>
    <w:tmpl w:val="B5E0F05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1"/>
  </w:num>
  <w:num w:numId="4">
    <w:abstractNumId w:val="13"/>
  </w:num>
  <w:num w:numId="5">
    <w:abstractNumId w:val="11"/>
  </w:num>
  <w:num w:numId="6">
    <w:abstractNumId w:val="14"/>
  </w:num>
  <w:num w:numId="7">
    <w:abstractNumId w:val="4"/>
  </w:num>
  <w:num w:numId="8">
    <w:abstractNumId w:val="10"/>
  </w:num>
  <w:num w:numId="9">
    <w:abstractNumId w:val="12"/>
  </w:num>
  <w:num w:numId="10">
    <w:abstractNumId w:val="9"/>
  </w:num>
  <w:num w:numId="11">
    <w:abstractNumId w:val="5"/>
  </w:num>
  <w:num w:numId="12">
    <w:abstractNumId w:val="7"/>
  </w:num>
  <w:num w:numId="13">
    <w:abstractNumId w:val="6"/>
  </w:num>
  <w:num w:numId="14">
    <w:abstractNumId w:val="2"/>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19"/>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3E"/>
    <w:rsid w:val="000026F6"/>
    <w:rsid w:val="000176AA"/>
    <w:rsid w:val="000718FB"/>
    <w:rsid w:val="000F2540"/>
    <w:rsid w:val="000F3FB1"/>
    <w:rsid w:val="0012474C"/>
    <w:rsid w:val="00134328"/>
    <w:rsid w:val="001D2445"/>
    <w:rsid w:val="001E2D15"/>
    <w:rsid w:val="002006DA"/>
    <w:rsid w:val="002103AD"/>
    <w:rsid w:val="00217CD6"/>
    <w:rsid w:val="002816D3"/>
    <w:rsid w:val="002D5B0A"/>
    <w:rsid w:val="002F229A"/>
    <w:rsid w:val="00334120"/>
    <w:rsid w:val="00344BF9"/>
    <w:rsid w:val="00351C44"/>
    <w:rsid w:val="00372826"/>
    <w:rsid w:val="0039675B"/>
    <w:rsid w:val="003A4FCB"/>
    <w:rsid w:val="003D5EAD"/>
    <w:rsid w:val="003D6D79"/>
    <w:rsid w:val="003D7294"/>
    <w:rsid w:val="003F5A17"/>
    <w:rsid w:val="004450D3"/>
    <w:rsid w:val="00453DBA"/>
    <w:rsid w:val="00454706"/>
    <w:rsid w:val="00471EB3"/>
    <w:rsid w:val="00484968"/>
    <w:rsid w:val="004C54F4"/>
    <w:rsid w:val="00534FD6"/>
    <w:rsid w:val="00545EEE"/>
    <w:rsid w:val="005571CB"/>
    <w:rsid w:val="0056236A"/>
    <w:rsid w:val="005635F9"/>
    <w:rsid w:val="00576B4A"/>
    <w:rsid w:val="005A1C73"/>
    <w:rsid w:val="005E2C26"/>
    <w:rsid w:val="00611D8B"/>
    <w:rsid w:val="00757FD4"/>
    <w:rsid w:val="00760C5A"/>
    <w:rsid w:val="007755B2"/>
    <w:rsid w:val="007B5BAB"/>
    <w:rsid w:val="008012A4"/>
    <w:rsid w:val="00823FCD"/>
    <w:rsid w:val="008879C6"/>
    <w:rsid w:val="008A246C"/>
    <w:rsid w:val="008B0EBD"/>
    <w:rsid w:val="009151C0"/>
    <w:rsid w:val="00960C6F"/>
    <w:rsid w:val="0098141D"/>
    <w:rsid w:val="009903A1"/>
    <w:rsid w:val="00990FA8"/>
    <w:rsid w:val="00995C3E"/>
    <w:rsid w:val="009A1884"/>
    <w:rsid w:val="009A2899"/>
    <w:rsid w:val="00A3183A"/>
    <w:rsid w:val="00A31FF3"/>
    <w:rsid w:val="00A77C41"/>
    <w:rsid w:val="00A80D2B"/>
    <w:rsid w:val="00A82B45"/>
    <w:rsid w:val="00A85C7E"/>
    <w:rsid w:val="00A94095"/>
    <w:rsid w:val="00AB30BF"/>
    <w:rsid w:val="00AD307E"/>
    <w:rsid w:val="00B47E20"/>
    <w:rsid w:val="00BE6F66"/>
    <w:rsid w:val="00BF0096"/>
    <w:rsid w:val="00BF287C"/>
    <w:rsid w:val="00C030D8"/>
    <w:rsid w:val="00C34835"/>
    <w:rsid w:val="00C40AB9"/>
    <w:rsid w:val="00C60511"/>
    <w:rsid w:val="00CF1766"/>
    <w:rsid w:val="00D44A26"/>
    <w:rsid w:val="00D5533B"/>
    <w:rsid w:val="00D640E9"/>
    <w:rsid w:val="00D736C5"/>
    <w:rsid w:val="00DC02F5"/>
    <w:rsid w:val="00E07A67"/>
    <w:rsid w:val="00E10D22"/>
    <w:rsid w:val="00E73486"/>
    <w:rsid w:val="00E94F23"/>
    <w:rsid w:val="00EC5E4F"/>
    <w:rsid w:val="00ED583A"/>
    <w:rsid w:val="00F03AEF"/>
    <w:rsid w:val="00F0627C"/>
    <w:rsid w:val="00F24DD5"/>
    <w:rsid w:val="00F67B97"/>
    <w:rsid w:val="00F8224D"/>
    <w:rsid w:val="00FB0863"/>
    <w:rsid w:val="00FB0A26"/>
    <w:rsid w:val="00FC6BF5"/>
    <w:rsid w:val="00FE6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5B3E50E"/>
  <w15:docId w15:val="{90206C30-870F-41EB-8EF9-39F2DC47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995C3E"/>
    <w:pPr>
      <w:jc w:val="both"/>
    </w:pPr>
    <w:rPr>
      <w:rFonts w:ascii="Arial"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95C3E"/>
    <w:pPr>
      <w:tabs>
        <w:tab w:val="center" w:pos="4536"/>
        <w:tab w:val="right" w:pos="9072"/>
      </w:tabs>
    </w:pPr>
  </w:style>
  <w:style w:type="character" w:customStyle="1" w:styleId="GlavaZnak">
    <w:name w:val="Glava Znak"/>
    <w:basedOn w:val="Privzetapisavaodstavka"/>
    <w:link w:val="Glava"/>
    <w:uiPriority w:val="99"/>
    <w:semiHidden/>
    <w:locked/>
    <w:rsid w:val="00757FD4"/>
    <w:rPr>
      <w:rFonts w:ascii="Arial" w:hAnsi="Arial" w:cs="Times New Roman"/>
      <w:sz w:val="24"/>
      <w:szCs w:val="24"/>
    </w:rPr>
  </w:style>
  <w:style w:type="paragraph" w:styleId="Noga">
    <w:name w:val="footer"/>
    <w:basedOn w:val="Navaden"/>
    <w:link w:val="NogaZnak"/>
    <w:uiPriority w:val="99"/>
    <w:rsid w:val="00995C3E"/>
    <w:pPr>
      <w:tabs>
        <w:tab w:val="center" w:pos="4536"/>
        <w:tab w:val="right" w:pos="9072"/>
      </w:tabs>
    </w:pPr>
  </w:style>
  <w:style w:type="character" w:customStyle="1" w:styleId="NogaZnak">
    <w:name w:val="Noga Znak"/>
    <w:basedOn w:val="Privzetapisavaodstavka"/>
    <w:link w:val="Noga"/>
    <w:uiPriority w:val="99"/>
    <w:semiHidden/>
    <w:locked/>
    <w:rsid w:val="00757FD4"/>
    <w:rPr>
      <w:rFonts w:ascii="Arial" w:hAnsi="Arial" w:cs="Times New Roman"/>
      <w:sz w:val="24"/>
      <w:szCs w:val="24"/>
    </w:rPr>
  </w:style>
  <w:style w:type="character" w:styleId="tevilkastrani">
    <w:name w:val="page number"/>
    <w:basedOn w:val="Privzetapisavaodstavka"/>
    <w:uiPriority w:val="99"/>
    <w:rsid w:val="00995C3E"/>
    <w:rPr>
      <w:rFonts w:cs="Times New Roman"/>
    </w:rPr>
  </w:style>
  <w:style w:type="paragraph" w:customStyle="1" w:styleId="Odstaveknav">
    <w:name w:val="Odstavek nav"/>
    <w:basedOn w:val="Telobesedila"/>
    <w:uiPriority w:val="99"/>
    <w:rsid w:val="001E2D15"/>
    <w:pPr>
      <w:spacing w:after="0" w:line="240" w:lineRule="atLeast"/>
    </w:pPr>
    <w:rPr>
      <w:rFonts w:ascii="Arial Narrow" w:hAnsi="Arial Narrow"/>
      <w:szCs w:val="20"/>
    </w:rPr>
  </w:style>
  <w:style w:type="paragraph" w:styleId="Telobesedila">
    <w:name w:val="Body Text"/>
    <w:basedOn w:val="Navaden"/>
    <w:link w:val="TelobesedilaZnak"/>
    <w:rsid w:val="001E2D15"/>
    <w:pPr>
      <w:spacing w:after="120"/>
    </w:pPr>
  </w:style>
  <w:style w:type="character" w:customStyle="1" w:styleId="TelobesedilaZnak">
    <w:name w:val="Telo besedila Znak"/>
    <w:basedOn w:val="Privzetapisavaodstavka"/>
    <w:link w:val="Telobesedila"/>
    <w:locked/>
    <w:rsid w:val="00757FD4"/>
    <w:rPr>
      <w:rFonts w:ascii="Arial" w:hAnsi="Arial" w:cs="Times New Roman"/>
      <w:sz w:val="24"/>
      <w:szCs w:val="24"/>
    </w:rPr>
  </w:style>
  <w:style w:type="paragraph" w:styleId="Zgradbadokumenta">
    <w:name w:val="Document Map"/>
    <w:basedOn w:val="Navaden"/>
    <w:link w:val="ZgradbadokumentaZnak"/>
    <w:uiPriority w:val="99"/>
    <w:semiHidden/>
    <w:rsid w:val="00E10D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757FD4"/>
    <w:rPr>
      <w:rFonts w:cs="Times New Roman"/>
      <w:sz w:val="2"/>
    </w:rPr>
  </w:style>
  <w:style w:type="paragraph" w:styleId="Navadensplet">
    <w:name w:val="Normal (Web)"/>
    <w:basedOn w:val="Navaden"/>
    <w:rsid w:val="003F5A17"/>
    <w:pPr>
      <w:spacing w:before="100" w:beforeAutospacing="1" w:after="100" w:afterAutospacing="1"/>
      <w:jc w:val="left"/>
    </w:pPr>
    <w:rPr>
      <w:rFonts w:ascii="Times New Roman" w:hAnsi="Times New Roman"/>
      <w:sz w:val="24"/>
    </w:rPr>
  </w:style>
  <w:style w:type="character" w:customStyle="1" w:styleId="Odlok-len-tekstCharChar">
    <w:name w:val="Odlok - Člen - tekst Char Char"/>
    <w:link w:val="Odlok-len-tekst"/>
    <w:locked/>
    <w:rsid w:val="008B0EBD"/>
    <w:rPr>
      <w:sz w:val="24"/>
      <w:lang w:eastAsia="ar-SA"/>
    </w:rPr>
  </w:style>
  <w:style w:type="paragraph" w:customStyle="1" w:styleId="Odlok-len-tekst">
    <w:name w:val="Odlok - Člen - tekst"/>
    <w:link w:val="Odlok-len-tekstCharChar"/>
    <w:rsid w:val="008B0EBD"/>
    <w:pPr>
      <w:numPr>
        <w:numId w:val="15"/>
      </w:numPr>
      <w:tabs>
        <w:tab w:val="left" w:pos="357"/>
      </w:tabs>
      <w:spacing w:after="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ja\Arhiv%202015\OB&#268;INSKI%20SVET\VABILA\www.sencur.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1940</Words>
  <Characters>11777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OBRAZLOŽITEV OPPN GASILSKI DOM PREBAČEVO</vt:lpstr>
    </vt:vector>
  </TitlesOfParts>
  <Company>Hewlett-Packard Company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OBRAZLOŽITEV OPPN GASILSKI DOM PREBAČEVO</dc:title>
  <dc:creator>Alenka Jesenko</dc:creator>
  <cp:lastModifiedBy>Cankar Marija</cp:lastModifiedBy>
  <cp:revision>3</cp:revision>
  <cp:lastPrinted>2016-09-01T10:46:00Z</cp:lastPrinted>
  <dcterms:created xsi:type="dcterms:W3CDTF">2016-09-14T12:24:00Z</dcterms:created>
  <dcterms:modified xsi:type="dcterms:W3CDTF">2016-09-14T12:36:00Z</dcterms:modified>
</cp:coreProperties>
</file>