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B" w:rsidRDefault="0016250B" w:rsidP="00D205E2">
      <w:pPr>
        <w:jc w:val="both"/>
        <w:rPr>
          <w:bCs/>
        </w:rPr>
      </w:pPr>
      <w:r>
        <w:rPr>
          <w:bCs/>
        </w:rPr>
        <w:t xml:space="preserve">Na podlagi 3. alineje prvega odstavka in drugega odstavka 54. člena Zakona </w:t>
      </w:r>
      <w:r w:rsidRPr="00980EFD">
        <w:rPr>
          <w:bCs/>
        </w:rPr>
        <w:t>o zavodih (Uradni list RS - stari, št. 12/91, Uradni list RS/I, št. 17/91 - ZUDE, Uradni list RS, št. 55/92 - ZVDK, 13/93, 66/93, 66/93, 45/94 - odl. US, 8/96, 31/00 - ZP-L, 36/00 - ZPDZC in 127/06 - ZJZP)</w:t>
      </w:r>
      <w:r>
        <w:rPr>
          <w:bCs/>
        </w:rPr>
        <w:t xml:space="preserve"> in Zakona o gospodarskih </w:t>
      </w:r>
      <w:r w:rsidRPr="00D205E2">
        <w:rPr>
          <w:bCs/>
        </w:rPr>
        <w:t>družbah (Uradni list RS, št. 15/05 - uradno prečiščeno besedilo in 42/06 - ZGD-1)</w:t>
      </w:r>
      <w:r>
        <w:rPr>
          <w:bCs/>
        </w:rPr>
        <w:t xml:space="preserve"> so : Občinski svet M</w:t>
      </w:r>
      <w:r w:rsidRPr="00BC43ED">
        <w:rPr>
          <w:bCs/>
        </w:rPr>
        <w:t>estne občine Slovenj G</w:t>
      </w:r>
      <w:r>
        <w:rPr>
          <w:bCs/>
        </w:rPr>
        <w:t>radec na …</w:t>
      </w:r>
      <w:r w:rsidRPr="00BC43ED">
        <w:rPr>
          <w:bCs/>
        </w:rPr>
        <w:t xml:space="preserve"> seji </w:t>
      </w:r>
      <w:r>
        <w:rPr>
          <w:bCs/>
        </w:rPr>
        <w:t>dne, …, Občinski svet O</w:t>
      </w:r>
      <w:r w:rsidRPr="00BC43ED">
        <w:rPr>
          <w:bCs/>
        </w:rPr>
        <w:t xml:space="preserve">bčine Mislinja na </w:t>
      </w:r>
      <w:r>
        <w:rPr>
          <w:bCs/>
        </w:rPr>
        <w:t>…</w:t>
      </w:r>
      <w:r w:rsidRPr="00BC43ED">
        <w:rPr>
          <w:bCs/>
        </w:rPr>
        <w:t xml:space="preserve">. seji </w:t>
      </w:r>
      <w:r>
        <w:rPr>
          <w:bCs/>
        </w:rPr>
        <w:t>dne, …, Občinski svet Občine Črna na Koroškem na …</w:t>
      </w:r>
      <w:r w:rsidRPr="00BC43ED">
        <w:rPr>
          <w:bCs/>
        </w:rPr>
        <w:t xml:space="preserve">. seji </w:t>
      </w:r>
      <w:r>
        <w:rPr>
          <w:bCs/>
        </w:rPr>
        <w:t>dne, …, Občinski svet Občine Mežica na …</w:t>
      </w:r>
      <w:r w:rsidRPr="00BC43ED">
        <w:rPr>
          <w:bCs/>
        </w:rPr>
        <w:t xml:space="preserve">. seji </w:t>
      </w:r>
      <w:r>
        <w:rPr>
          <w:bCs/>
        </w:rPr>
        <w:t>dne, …</w:t>
      </w:r>
      <w:r w:rsidRPr="00BC43ED">
        <w:rPr>
          <w:bCs/>
        </w:rPr>
        <w:t xml:space="preserve">, Občinski svet </w:t>
      </w:r>
      <w:r>
        <w:rPr>
          <w:bCs/>
        </w:rPr>
        <w:t>Občine Prevalje na …</w:t>
      </w:r>
      <w:r w:rsidRPr="00BC43ED">
        <w:rPr>
          <w:bCs/>
        </w:rPr>
        <w:t>. seji</w:t>
      </w:r>
      <w:r>
        <w:rPr>
          <w:bCs/>
        </w:rPr>
        <w:t xml:space="preserve"> dne, ….</w:t>
      </w:r>
      <w:r w:rsidRPr="00BC43ED">
        <w:rPr>
          <w:bCs/>
        </w:rPr>
        <w:t xml:space="preserve">, </w:t>
      </w:r>
      <w:r>
        <w:rPr>
          <w:bCs/>
        </w:rPr>
        <w:t>Občinski svet Občine Podvelka na …</w:t>
      </w:r>
      <w:r w:rsidRPr="00BC43ED">
        <w:rPr>
          <w:bCs/>
        </w:rPr>
        <w:t xml:space="preserve">. seji </w:t>
      </w:r>
      <w:r>
        <w:rPr>
          <w:bCs/>
        </w:rPr>
        <w:t>dne, …, Občinski svet O</w:t>
      </w:r>
      <w:r w:rsidRPr="00BC43ED">
        <w:rPr>
          <w:bCs/>
        </w:rPr>
        <w:t xml:space="preserve">bčine Dravograd na </w:t>
      </w:r>
      <w:r>
        <w:rPr>
          <w:bCs/>
        </w:rPr>
        <w:t>…</w:t>
      </w:r>
      <w:r w:rsidRPr="00BC43ED">
        <w:rPr>
          <w:bCs/>
        </w:rPr>
        <w:t xml:space="preserve">. seji </w:t>
      </w:r>
      <w:r>
        <w:rPr>
          <w:bCs/>
        </w:rPr>
        <w:t>dne, …., Občinski svet O</w:t>
      </w:r>
      <w:r w:rsidRPr="00BC43ED">
        <w:rPr>
          <w:bCs/>
        </w:rPr>
        <w:t xml:space="preserve">bčine Ribnica na Pohorju na </w:t>
      </w:r>
      <w:r>
        <w:rPr>
          <w:bCs/>
        </w:rPr>
        <w:t>…</w:t>
      </w:r>
      <w:r w:rsidRPr="00BC43ED">
        <w:rPr>
          <w:bCs/>
        </w:rPr>
        <w:t xml:space="preserve">. seji </w:t>
      </w:r>
      <w:r>
        <w:rPr>
          <w:bCs/>
        </w:rPr>
        <w:t>dne, …, Občinski svet Občine Muta na …</w:t>
      </w:r>
      <w:r w:rsidRPr="00BC43ED">
        <w:rPr>
          <w:bCs/>
        </w:rPr>
        <w:t xml:space="preserve">. seji </w:t>
      </w:r>
      <w:r>
        <w:rPr>
          <w:bCs/>
        </w:rPr>
        <w:t>dne, …, Občinski svet O</w:t>
      </w:r>
      <w:r w:rsidRPr="00BC43ED">
        <w:rPr>
          <w:bCs/>
        </w:rPr>
        <w:t>bčine Vuzenica</w:t>
      </w:r>
      <w:r>
        <w:rPr>
          <w:bCs/>
        </w:rPr>
        <w:t xml:space="preserve"> na …</w:t>
      </w:r>
      <w:r w:rsidRPr="00BC43ED">
        <w:rPr>
          <w:bCs/>
        </w:rPr>
        <w:t>. seji</w:t>
      </w:r>
      <w:r>
        <w:rPr>
          <w:bCs/>
        </w:rPr>
        <w:t xml:space="preserve"> dne, …., Občinski svet Občine Radlje ob Dravi na …</w:t>
      </w:r>
      <w:r w:rsidRPr="00BC43ED">
        <w:rPr>
          <w:bCs/>
        </w:rPr>
        <w:t xml:space="preserve">. seji </w:t>
      </w:r>
      <w:r>
        <w:rPr>
          <w:bCs/>
        </w:rPr>
        <w:t>dne, …..</w:t>
      </w:r>
      <w:r w:rsidRPr="00BC43ED">
        <w:rPr>
          <w:bCs/>
        </w:rPr>
        <w:t xml:space="preserve"> in Upravni odbor Gospodarske zbo</w:t>
      </w:r>
      <w:r>
        <w:rPr>
          <w:bCs/>
        </w:rPr>
        <w:t>rnice Slovenije, OZ Koroška na ..</w:t>
      </w:r>
      <w:r w:rsidRPr="00BC43ED">
        <w:rPr>
          <w:bCs/>
        </w:rPr>
        <w:t xml:space="preserve">. seji </w:t>
      </w:r>
      <w:r>
        <w:rPr>
          <w:bCs/>
        </w:rPr>
        <w:t>dne, ….</w:t>
      </w:r>
      <w:r w:rsidRPr="00BC43ED">
        <w:rPr>
          <w:bCs/>
        </w:rPr>
        <w:t xml:space="preserve"> sprejeli</w:t>
      </w:r>
    </w:p>
    <w:p w:rsidR="0016250B" w:rsidRPr="001A2AED" w:rsidRDefault="0016250B" w:rsidP="00FC41AE">
      <w:pPr>
        <w:jc w:val="center"/>
        <w:rPr>
          <w:b/>
          <w:bCs/>
          <w:spacing w:val="120"/>
          <w:sz w:val="24"/>
          <w:szCs w:val="24"/>
        </w:rPr>
      </w:pPr>
      <w:r w:rsidRPr="001A2AED">
        <w:rPr>
          <w:b/>
          <w:bCs/>
          <w:spacing w:val="120"/>
          <w:sz w:val="24"/>
          <w:szCs w:val="24"/>
        </w:rPr>
        <w:t xml:space="preserve">ODLOK </w:t>
      </w:r>
    </w:p>
    <w:p w:rsidR="0016250B" w:rsidRDefault="0016250B" w:rsidP="00FC41AE">
      <w:pPr>
        <w:jc w:val="center"/>
        <w:rPr>
          <w:b/>
          <w:bCs/>
        </w:rPr>
      </w:pPr>
      <w:r>
        <w:rPr>
          <w:b/>
          <w:bCs/>
        </w:rPr>
        <w:t>o prenehanju javnega zavoda “Javni zavod Koroško višje in visokošolsko središče”</w:t>
      </w:r>
    </w:p>
    <w:p w:rsidR="0016250B" w:rsidRDefault="0016250B" w:rsidP="00FC41AE">
      <w:pPr>
        <w:rPr>
          <w:b/>
          <w:bCs/>
        </w:rPr>
      </w:pPr>
    </w:p>
    <w:p w:rsidR="0016250B" w:rsidRDefault="0016250B" w:rsidP="00AF4150">
      <w:pPr>
        <w:pStyle w:val="ListParagraph"/>
        <w:numPr>
          <w:ilvl w:val="0"/>
          <w:numId w:val="1"/>
        </w:numPr>
        <w:ind w:left="426"/>
        <w:jc w:val="center"/>
        <w:rPr>
          <w:bCs/>
        </w:rPr>
      </w:pPr>
      <w:r>
        <w:rPr>
          <w:bCs/>
        </w:rPr>
        <w:t>člen</w:t>
      </w:r>
    </w:p>
    <w:p w:rsidR="0016250B" w:rsidRDefault="0016250B" w:rsidP="00F35592">
      <w:pPr>
        <w:ind w:left="360"/>
        <w:jc w:val="both"/>
        <w:rPr>
          <w:bCs/>
        </w:rPr>
      </w:pPr>
      <w:r>
        <w:rPr>
          <w:bCs/>
        </w:rPr>
        <w:t>Javni zavod</w:t>
      </w:r>
      <w:r w:rsidRPr="001A2AED">
        <w:rPr>
          <w:bCs/>
        </w:rPr>
        <w:t xml:space="preserve"> </w:t>
      </w:r>
      <w:r w:rsidRPr="00F35592">
        <w:rPr>
          <w:bCs/>
        </w:rPr>
        <w:t>JAVNI ZAVOD KOROŠKO VIŠJE IN VISOKOŠOLSKO SREDIŠČE, Pod Gradom 4, 2380 Slovenj Gradec</w:t>
      </w:r>
      <w:r>
        <w:rPr>
          <w:bCs/>
        </w:rPr>
        <w:t>, matična številka: 1954105000, preneha po postopku redne likvidacije, zaradi prenehanja potrebe za opravljanje dejavnosti, za katero je bil zavod registriran</w:t>
      </w:r>
      <w:r w:rsidRPr="00F35592">
        <w:rPr>
          <w:bCs/>
        </w:rPr>
        <w:t>. Prav tako niso več podani ekonomski in drugi pogoji za nadaljevanje dejavnosti javnega zavoda.</w:t>
      </w:r>
    </w:p>
    <w:p w:rsidR="0016250B" w:rsidRDefault="0016250B" w:rsidP="00AF4150">
      <w:pPr>
        <w:pStyle w:val="ListParagraph"/>
        <w:numPr>
          <w:ilvl w:val="0"/>
          <w:numId w:val="1"/>
        </w:numPr>
        <w:ind w:left="426"/>
        <w:jc w:val="center"/>
      </w:pPr>
      <w:r>
        <w:t>člen</w:t>
      </w:r>
    </w:p>
    <w:p w:rsidR="0016250B" w:rsidRDefault="0016250B" w:rsidP="00F35592">
      <w:pPr>
        <w:ind w:left="360"/>
        <w:jc w:val="both"/>
      </w:pPr>
      <w:r>
        <w:t xml:space="preserve">Osebam, ki so na dan uveljavitve tega odloka v rednem delovnem razmerju pri javnem zavodu </w:t>
      </w:r>
      <w:r w:rsidRPr="00F35592">
        <w:t>JAVNI ZAVOD KOROŠKO VIŠJE IN VISOKOŠOLSKO SREDIŠČE</w:t>
      </w:r>
      <w:r>
        <w:t xml:space="preserve">, preneha delovno razmerje v skladu z zakonom. </w:t>
      </w:r>
    </w:p>
    <w:p w:rsidR="0016250B" w:rsidRDefault="0016250B" w:rsidP="00AF4150">
      <w:pPr>
        <w:pStyle w:val="ListParagraph"/>
        <w:numPr>
          <w:ilvl w:val="0"/>
          <w:numId w:val="1"/>
        </w:numPr>
        <w:ind w:left="426"/>
        <w:jc w:val="center"/>
      </w:pPr>
      <w:r>
        <w:t>člen</w:t>
      </w:r>
    </w:p>
    <w:p w:rsidR="0016250B" w:rsidRDefault="0016250B" w:rsidP="001A2AED">
      <w:pPr>
        <w:ind w:left="360"/>
        <w:jc w:val="both"/>
      </w:pPr>
      <w:r>
        <w:t xml:space="preserve">Ustanoviteljice pooblaščajo dr. Silvo Roncelli Vaupot za izpeljavo vseh aktivnosti v zvezi z redno likvidacijo javnega zavoda </w:t>
      </w:r>
      <w:r w:rsidRPr="002628ED">
        <w:t>JAVNI ZAVOD KOROŠKO VIŠJE IN VISOKOŠOLSKO SREDIŠČE</w:t>
      </w:r>
      <w:r>
        <w:t>.</w:t>
      </w:r>
    </w:p>
    <w:p w:rsidR="0016250B" w:rsidRDefault="0016250B" w:rsidP="00AF4150">
      <w:pPr>
        <w:pStyle w:val="ListParagraph"/>
        <w:numPr>
          <w:ilvl w:val="0"/>
          <w:numId w:val="1"/>
        </w:numPr>
        <w:ind w:left="426"/>
        <w:jc w:val="center"/>
      </w:pPr>
      <w:r>
        <w:t>člen</w:t>
      </w:r>
    </w:p>
    <w:p w:rsidR="0016250B" w:rsidRDefault="0016250B" w:rsidP="002628ED">
      <w:pPr>
        <w:ind w:left="360"/>
        <w:jc w:val="both"/>
      </w:pPr>
      <w:r>
        <w:t>Ob zaključku likvidacije se preostanek premoženja razdeli med ustanoviteljice v skladu z zakonom, Statutom Javnega zavoda Koroško višje in visokošolsko središče in skladno s pogodbo o medsebojnih pravicah, obveznostih in odgovornostih glede na delež sofinanciranja posamezne občine:</w:t>
      </w:r>
    </w:p>
    <w:tbl>
      <w:tblPr>
        <w:tblW w:w="4834" w:type="dxa"/>
        <w:tblInd w:w="416" w:type="dxa"/>
        <w:tblCellMar>
          <w:left w:w="70" w:type="dxa"/>
          <w:right w:w="70" w:type="dxa"/>
        </w:tblCellMar>
        <w:tblLook w:val="00A0"/>
      </w:tblPr>
      <w:tblGrid>
        <w:gridCol w:w="557"/>
        <w:gridCol w:w="2957"/>
        <w:gridCol w:w="1320"/>
      </w:tblGrid>
      <w:tr w:rsidR="0016250B" w:rsidRPr="0070483F" w:rsidTr="00E804D6">
        <w:trPr>
          <w:trHeight w:val="4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16250B" w:rsidRPr="0070483F" w:rsidRDefault="0016250B" w:rsidP="00E804D6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70483F">
              <w:rPr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16250B" w:rsidRPr="0070483F" w:rsidRDefault="0016250B" w:rsidP="00E804D6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70483F">
              <w:rPr>
                <w:b/>
                <w:bCs/>
                <w:color w:val="000000"/>
                <w:lang w:eastAsia="sl-SI"/>
              </w:rPr>
              <w:t>Ustanoviteljica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16250B" w:rsidRPr="0070483F" w:rsidRDefault="0016250B" w:rsidP="00E804D6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70483F">
              <w:rPr>
                <w:b/>
                <w:bCs/>
                <w:color w:val="000000"/>
                <w:lang w:eastAsia="sl-SI"/>
              </w:rPr>
              <w:t>Delež</w:t>
            </w:r>
          </w:p>
          <w:p w:rsidR="0016250B" w:rsidRPr="0070483F" w:rsidRDefault="0016250B" w:rsidP="00E804D6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70483F">
              <w:rPr>
                <w:b/>
                <w:bCs/>
                <w:color w:val="000000"/>
                <w:lang w:eastAsia="sl-SI"/>
              </w:rPr>
              <w:t>v 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Mestna občina Slovenj Gradec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71,48%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Dravograd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7,31%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Prevalje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3,88%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Radlje ob Dravi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3,71%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5.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Mislinja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2,78%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6.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Mežica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2,35%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7.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Muta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2,21%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8.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Črna na Koroškem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2,18%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9.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 xml:space="preserve">Občina Vuzenica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1,70%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10.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Podvelka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1,65%</w:t>
            </w:r>
          </w:p>
        </w:tc>
      </w:tr>
      <w:tr w:rsidR="0016250B" w:rsidRPr="0070483F" w:rsidTr="00E804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11.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50B" w:rsidRPr="0070483F" w:rsidRDefault="0016250B" w:rsidP="00E804D6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Občina Ribnica na Pohorju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70483F">
              <w:rPr>
                <w:color w:val="000000"/>
                <w:lang w:eastAsia="sl-SI"/>
              </w:rPr>
              <w:t>0,76%</w:t>
            </w:r>
          </w:p>
        </w:tc>
      </w:tr>
      <w:tr w:rsidR="0016250B" w:rsidRPr="0070483F" w:rsidTr="00E804D6">
        <w:trPr>
          <w:trHeight w:val="315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70483F">
              <w:rPr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</w:tcPr>
          <w:p w:rsidR="0016250B" w:rsidRPr="0070483F" w:rsidRDefault="0016250B" w:rsidP="00E804D6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70483F">
              <w:rPr>
                <w:b/>
                <w:bCs/>
                <w:color w:val="000000"/>
                <w:lang w:eastAsia="sl-SI"/>
              </w:rPr>
              <w:t>100,00%</w:t>
            </w:r>
          </w:p>
        </w:tc>
      </w:tr>
    </w:tbl>
    <w:p w:rsidR="0016250B" w:rsidRDefault="0016250B" w:rsidP="002628ED">
      <w:pPr>
        <w:ind w:left="360"/>
        <w:jc w:val="both"/>
      </w:pPr>
    </w:p>
    <w:p w:rsidR="0016250B" w:rsidRDefault="0016250B" w:rsidP="002628ED">
      <w:pPr>
        <w:ind w:left="360"/>
        <w:jc w:val="both"/>
      </w:pPr>
    </w:p>
    <w:p w:rsidR="0016250B" w:rsidRDefault="0016250B" w:rsidP="00AF4150">
      <w:pPr>
        <w:pStyle w:val="ListParagraph"/>
        <w:numPr>
          <w:ilvl w:val="0"/>
          <w:numId w:val="1"/>
        </w:numPr>
        <w:ind w:left="426"/>
        <w:jc w:val="center"/>
      </w:pPr>
      <w:r>
        <w:t>člen</w:t>
      </w:r>
    </w:p>
    <w:p w:rsidR="0016250B" w:rsidRDefault="0016250B" w:rsidP="001A2AED">
      <w:pPr>
        <w:ind w:left="360"/>
        <w:jc w:val="both"/>
      </w:pPr>
      <w:r>
        <w:t>Z uveljavitvijo tega odloka preneha veljati Odlok o ustanovitvi javnega zavoda "Koroško višje in visokošolsko središče" (Ur. l. RS, št. 38/2004).</w:t>
      </w:r>
    </w:p>
    <w:p w:rsidR="0016250B" w:rsidRDefault="0016250B" w:rsidP="00AF4150">
      <w:pPr>
        <w:pStyle w:val="ListParagraph"/>
        <w:numPr>
          <w:ilvl w:val="0"/>
          <w:numId w:val="1"/>
        </w:numPr>
        <w:ind w:left="426"/>
        <w:jc w:val="center"/>
      </w:pPr>
      <w:r>
        <w:t>člen</w:t>
      </w:r>
    </w:p>
    <w:p w:rsidR="0016250B" w:rsidRDefault="0016250B" w:rsidP="007C465B">
      <w:pPr>
        <w:ind w:left="360"/>
        <w:jc w:val="both"/>
      </w:pPr>
      <w:r>
        <w:t>Ta odlok začne veljati, ko ga na svojih organih odločanja sprejmejo vse ustanoviteljice v enakem besedilu. Veljati začne naslednji dan po objavi v Uradnem listu Republike Slovenije.</w:t>
      </w:r>
    </w:p>
    <w:p w:rsidR="0016250B" w:rsidRDefault="0016250B" w:rsidP="007C465B">
      <w:pPr>
        <w:ind w:left="360"/>
        <w:jc w:val="both"/>
      </w:pPr>
    </w:p>
    <w:p w:rsidR="0016250B" w:rsidRDefault="0016250B" w:rsidP="007C465B">
      <w:pPr>
        <w:ind w:left="360"/>
        <w:jc w:val="both"/>
      </w:pPr>
      <w:r>
        <w:t>Slovenj Gradec, januar 2015</w:t>
      </w:r>
    </w:p>
    <w:p w:rsidR="0016250B" w:rsidRDefault="0016250B" w:rsidP="007C465B">
      <w:pPr>
        <w:pStyle w:val="ListParagraph"/>
        <w:spacing w:before="360" w:after="120"/>
        <w:ind w:left="4253"/>
      </w:pPr>
      <w:r>
        <w:tab/>
      </w:r>
      <w:r>
        <w:tab/>
      </w:r>
      <w:bookmarkStart w:id="0" w:name="_GoBack"/>
      <w:r>
        <w:t xml:space="preserve">Ustanoviteljice: </w:t>
      </w:r>
    </w:p>
    <w:p w:rsidR="0016250B" w:rsidRDefault="0016250B" w:rsidP="007C465B">
      <w:pPr>
        <w:pStyle w:val="ListParagraph"/>
        <w:spacing w:before="360" w:after="120"/>
        <w:ind w:left="4253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Mestna občina Slovenj Gradec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Andrej Čas,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Črna na Koroškem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Romana Lesjak, županja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Dravograd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Marijana Cigala, županja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Mežica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Dušan Krebel,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Mislinja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Franc Šilak,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Muta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Mirko Vošner,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Podvelka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Anton Kovše,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Prevalje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dr. Matija Tasič,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Radlje ob Dravi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mag. Alan Bukovnik,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Ribnica na Pohorju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Srečko Geč,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Občina Vuzenica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Franc-Franjo Golob, župan</w:t>
      </w:r>
    </w:p>
    <w:p w:rsidR="0016250B" w:rsidRDefault="0016250B" w:rsidP="00544C2F">
      <w:pPr>
        <w:pStyle w:val="ListParagraph"/>
        <w:spacing w:before="360" w:after="120" w:line="480" w:lineRule="auto"/>
        <w:ind w:left="4253"/>
        <w:jc w:val="center"/>
      </w:pPr>
    </w:p>
    <w:p w:rsidR="0016250B" w:rsidRDefault="0016250B" w:rsidP="00544C2F">
      <w:pPr>
        <w:pStyle w:val="ListParagraph"/>
        <w:numPr>
          <w:ilvl w:val="0"/>
          <w:numId w:val="2"/>
        </w:numPr>
        <w:spacing w:before="360" w:after="120"/>
        <w:ind w:left="4253"/>
        <w:jc w:val="center"/>
      </w:pPr>
      <w:r>
        <w:t>Gospodarska zbornica Slovenije,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OZ Koroška</w:t>
      </w:r>
    </w:p>
    <w:p w:rsidR="0016250B" w:rsidRDefault="0016250B" w:rsidP="00544C2F">
      <w:pPr>
        <w:pStyle w:val="ListParagraph"/>
        <w:spacing w:before="360" w:after="120"/>
        <w:ind w:left="4253"/>
        <w:jc w:val="center"/>
      </w:pPr>
      <w:r>
        <w:t>Tatjana Kupnik, direktorica</w:t>
      </w:r>
      <w:bookmarkEnd w:id="0"/>
    </w:p>
    <w:sectPr w:rsidR="0016250B" w:rsidSect="007C4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316"/>
    <w:multiLevelType w:val="hybridMultilevel"/>
    <w:tmpl w:val="2EF832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14280"/>
    <w:multiLevelType w:val="hybridMultilevel"/>
    <w:tmpl w:val="D6FABEA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92"/>
    <w:rsid w:val="000406BB"/>
    <w:rsid w:val="00066458"/>
    <w:rsid w:val="0016250B"/>
    <w:rsid w:val="001A2AED"/>
    <w:rsid w:val="002628ED"/>
    <w:rsid w:val="002C02BB"/>
    <w:rsid w:val="003355F9"/>
    <w:rsid w:val="00341FFF"/>
    <w:rsid w:val="003B1A64"/>
    <w:rsid w:val="003B3664"/>
    <w:rsid w:val="00412C29"/>
    <w:rsid w:val="00481142"/>
    <w:rsid w:val="004945C7"/>
    <w:rsid w:val="00544C2F"/>
    <w:rsid w:val="00545716"/>
    <w:rsid w:val="006E1009"/>
    <w:rsid w:val="0070483F"/>
    <w:rsid w:val="00720F3C"/>
    <w:rsid w:val="007C465B"/>
    <w:rsid w:val="00980EFD"/>
    <w:rsid w:val="00994F31"/>
    <w:rsid w:val="009D3047"/>
    <w:rsid w:val="00A22956"/>
    <w:rsid w:val="00AF4150"/>
    <w:rsid w:val="00BC43ED"/>
    <w:rsid w:val="00C73FD1"/>
    <w:rsid w:val="00CD7B42"/>
    <w:rsid w:val="00D205E2"/>
    <w:rsid w:val="00E602C0"/>
    <w:rsid w:val="00E804D6"/>
    <w:rsid w:val="00EB4ABF"/>
    <w:rsid w:val="00F35592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6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205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516</Words>
  <Characters>2945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Dušan Jamnik</dc:creator>
  <cp:keywords/>
  <dc:description/>
  <cp:lastModifiedBy>Mojca Orešnik</cp:lastModifiedBy>
  <cp:revision>2</cp:revision>
  <cp:lastPrinted>2015-01-16T15:16:00Z</cp:lastPrinted>
  <dcterms:created xsi:type="dcterms:W3CDTF">2015-04-08T07:52:00Z</dcterms:created>
  <dcterms:modified xsi:type="dcterms:W3CDTF">2015-04-08T07:52:00Z</dcterms:modified>
</cp:coreProperties>
</file>