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08" w:rsidRDefault="00E16208" w:rsidP="00E16208">
      <w:pPr>
        <w:pStyle w:val="Naslov1"/>
        <w:ind w:left="360"/>
      </w:pPr>
      <w:bookmarkStart w:id="0" w:name="_GoBack"/>
      <w:bookmarkEnd w:id="0"/>
      <w:r>
        <w:t>Obrazložitev k Osnutku predloga odloka o nadomestilu za uporabo stavbnega zemljišča</w:t>
      </w:r>
    </w:p>
    <w:p w:rsidR="00E16208" w:rsidRPr="00331A90" w:rsidRDefault="00E16208" w:rsidP="00E16208">
      <w:pPr>
        <w:pStyle w:val="Naslov1"/>
        <w:numPr>
          <w:ilvl w:val="0"/>
          <w:numId w:val="1"/>
        </w:numPr>
        <w:spacing w:after="240"/>
      </w:pPr>
      <w:r w:rsidRPr="005B0701">
        <w:rPr>
          <w:sz w:val="28"/>
          <w:szCs w:val="28"/>
        </w:rPr>
        <w:t>NUSZ</w:t>
      </w:r>
      <w:r>
        <w:t xml:space="preserve"> splošno</w:t>
      </w:r>
    </w:p>
    <w:p w:rsidR="00E16208" w:rsidRDefault="00E16208" w:rsidP="00E16208">
      <w:pPr>
        <w:spacing w:line="264" w:lineRule="auto"/>
        <w:jc w:val="both"/>
        <w:rPr>
          <w:szCs w:val="24"/>
        </w:rPr>
      </w:pPr>
      <w:r>
        <w:rPr>
          <w:szCs w:val="24"/>
        </w:rPr>
        <w:t>Institut nadomestila za uporabo stavbnega zemljišča (v nadaljevanju NUSZ) je bil uveden z uveljavitvijo Zakona o stavbnih zemljiščih iz leta 1984 (Uradni list SRS, št. 18/84, v nadaljevanju ZSZ). ZSZ je s sprejetjem novega istoimenskega zakona prenehal veljati v letu 1997, ta pa je prenehal veljati s sprejetjem nove prostorske zakonodaje v letu 2002 oz. 2007. VI. poglavje ZSZ, ki ureja NUSZ je namreč ostalo v veljavi, saj naj bi bilo prehodnega značaja, ker je bila že v tistem času predvidena uvedba drugačne obdavčitve nepremičnin - davka na nepremičnine, občine pa bi z ukinitvijo NUSZ ostale brez unikatnega vira dohodkov.</w:t>
      </w:r>
    </w:p>
    <w:p w:rsidR="00E16208" w:rsidRDefault="00E16208" w:rsidP="00E16208">
      <w:pPr>
        <w:spacing w:line="264" w:lineRule="auto"/>
        <w:jc w:val="both"/>
        <w:rPr>
          <w:szCs w:val="24"/>
        </w:rPr>
      </w:pPr>
      <w:r>
        <w:rPr>
          <w:szCs w:val="24"/>
        </w:rPr>
        <w:t xml:space="preserve">Z uveljavitvijo Zakona o davku na nepremičnine (Uradni list RS, št. 101/13), so vsi odloki občin, ki so bili veljavni na dan sprejema zakona prenehali veljati, vendar se glede na odločitev Ustavnega sodišča RS, št. U-I-313/13-86 z dne 21. 3. 2014 (Uradni list RS, št. 22/14), še vedno uporabljajo do drugačne zakonske ureditve obdavčitve nepremičnin. </w:t>
      </w:r>
    </w:p>
    <w:p w:rsidR="00E16208" w:rsidRDefault="00E16208" w:rsidP="00E16208">
      <w:pPr>
        <w:spacing w:line="264" w:lineRule="auto"/>
        <w:jc w:val="both"/>
        <w:rPr>
          <w:szCs w:val="24"/>
        </w:rPr>
      </w:pPr>
      <w:r>
        <w:rPr>
          <w:szCs w:val="24"/>
        </w:rPr>
        <w:t>Spreminjanje odlokov, ki so bili razveljavljeni z Zakonom o davku na nepremičnine, ni možno, lahko pa se v povezavi s 55. členom ZIPRS (</w:t>
      </w:r>
      <w:r w:rsidRPr="0030575F">
        <w:rPr>
          <w:szCs w:val="24"/>
        </w:rPr>
        <w:t>Uradni list RS, št. </w:t>
      </w:r>
      <w:hyperlink r:id="rId7" w:tgtFrame="_blank" w:tooltip="Zakon o izvrševanju proračunov Republike Slovenije za leti 2021 in 2022 (ZIPRS2122)" w:history="1">
        <w:r w:rsidRPr="0030575F">
          <w:rPr>
            <w:szCs w:val="24"/>
          </w:rPr>
          <w:t>174/20</w:t>
        </w:r>
      </w:hyperlink>
      <w:r w:rsidRPr="0030575F">
        <w:rPr>
          <w:szCs w:val="24"/>
        </w:rPr>
        <w:t>, </w:t>
      </w:r>
      <w:hyperlink r:id="rId8" w:tgtFrame="_blank" w:tooltip="Zakon o dodatnih ukrepih za omilitev posledic COVID-19 " w:history="1">
        <w:r w:rsidRPr="0030575F">
          <w:rPr>
            <w:szCs w:val="24"/>
          </w:rPr>
          <w:t>15/21</w:t>
        </w:r>
      </w:hyperlink>
      <w:r w:rsidRPr="0030575F">
        <w:rPr>
          <w:szCs w:val="24"/>
        </w:rPr>
        <w:t> – ZDUOP in </w:t>
      </w:r>
      <w:hyperlink r:id="rId9" w:tgtFrame="_blank" w:tooltip="Zakon o spremembah in dopolnitvi Zakona o izvrševanju proračuna Republike Slovenije za leti 2021 in 2022" w:history="1">
        <w:r w:rsidRPr="0030575F">
          <w:rPr>
            <w:szCs w:val="24"/>
          </w:rPr>
          <w:t>74/21</w:t>
        </w:r>
      </w:hyperlink>
      <w:r w:rsidRPr="0044729D">
        <w:rPr>
          <w:szCs w:val="24"/>
        </w:rPr>
        <w:t>)</w:t>
      </w:r>
      <w:r>
        <w:rPr>
          <w:szCs w:val="24"/>
        </w:rPr>
        <w:t xml:space="preserve"> sprejemajo novi odloki, ki urejajo to področje.</w:t>
      </w:r>
    </w:p>
    <w:p w:rsidR="00E16208" w:rsidRDefault="00E16208" w:rsidP="00E16208">
      <w:pPr>
        <w:spacing w:line="264" w:lineRule="auto"/>
        <w:jc w:val="both"/>
        <w:rPr>
          <w:szCs w:val="24"/>
        </w:rPr>
      </w:pPr>
      <w:r>
        <w:rPr>
          <w:szCs w:val="24"/>
        </w:rPr>
        <w:t xml:space="preserve">Ministrstvo za Finance (MF) je že v letu 2016 pozvalo občine k zakonski uskladitvi odlokov o NUSZ, skupaj z Ministrstvom za okolje in prostor (MOP) in Ministrstvom za javno upravo (MJU) pa je podalo tudi smernice, ki naj bodo upoštevane pri vsebinski pripravi novega odloka. </w:t>
      </w:r>
    </w:p>
    <w:p w:rsidR="00E16208" w:rsidRDefault="00E16208" w:rsidP="00E16208">
      <w:pPr>
        <w:spacing w:line="264" w:lineRule="auto"/>
        <w:jc w:val="both"/>
        <w:rPr>
          <w:szCs w:val="24"/>
        </w:rPr>
      </w:pPr>
      <w:r>
        <w:rPr>
          <w:szCs w:val="24"/>
        </w:rPr>
        <w:t>MOP je v letu 2017 pričelo z izvajanjem predpisov s področja nadomestila za uporabo stavbnega zemljišča. Namen nadzora pa je slediti načelu izboljšanja predpisov občin s področja NUSZ in njihova uskladitev z veljavno  zakonodajo.</w:t>
      </w:r>
    </w:p>
    <w:p w:rsidR="00E16208" w:rsidRPr="00E06DB0" w:rsidRDefault="00E16208" w:rsidP="00E16208">
      <w:pPr>
        <w:spacing w:before="240" w:line="264" w:lineRule="auto"/>
        <w:jc w:val="both"/>
      </w:pPr>
      <w:r>
        <w:t xml:space="preserve">Do uveljavitve davka na nepremičnine ostaja NUSZ izvirni prihodek občin ter dajatev za posredno obremenjevanje prostora kot omejene dobrine prek zemljišča, na katerem je zgrajen oziroma je predviden objekt. </w:t>
      </w:r>
      <w:r w:rsidRPr="00E06DB0">
        <w:t>Prihodki iz naslova NUSZ občinam zagotavljajo dodaten vir financiranja ločeno od sredstev, ki jim jih za financiranje prenesenih nalog zagotavlja država.</w:t>
      </w:r>
    </w:p>
    <w:p w:rsidR="00E16208" w:rsidRPr="000B72A9" w:rsidRDefault="00E16208" w:rsidP="00E16208">
      <w:pPr>
        <w:jc w:val="both"/>
      </w:pPr>
      <w:r>
        <w:t>NUSZ</w:t>
      </w:r>
      <w:r w:rsidRPr="000B72A9">
        <w:t xml:space="preserve"> se plačuje na območju mest in naselij mestnega značaja; na območjih, ki so določena za stanovanjsko in drugačno kompleksno graditev; na območjih, za katere je sprejet prostorski izvedbeni načrt in na drugih območjih, ki so opremljena z vodovodnim in električnim omrežjem.</w:t>
      </w:r>
    </w:p>
    <w:p w:rsidR="00E16208" w:rsidRPr="006E69AA" w:rsidRDefault="00E16208" w:rsidP="00E16208">
      <w:pPr>
        <w:jc w:val="both"/>
      </w:pPr>
      <w:r>
        <w:t>NUSZ se plačuje za uporabo zazidanega in nezazidanega stavbnega zemljišča.</w:t>
      </w:r>
    </w:p>
    <w:p w:rsidR="00E16208" w:rsidRDefault="00E16208" w:rsidP="00E16208">
      <w:pPr>
        <w:spacing w:after="0"/>
        <w:jc w:val="both"/>
      </w:pPr>
      <w:r w:rsidRPr="000B72A9">
        <w:t>Občina z odlokom sprejme podlage za odmero NUSZ, oziroma določi merila za določanje višine nadomestila neposrednim uporabnikom stavbnih zemljišč.</w:t>
      </w:r>
      <w:r>
        <w:t xml:space="preserve"> Pri tem se upošteva zlasti naslednja merila:</w:t>
      </w:r>
    </w:p>
    <w:p w:rsidR="00E16208" w:rsidRPr="0087333F" w:rsidRDefault="00E16208" w:rsidP="00E16208">
      <w:pPr>
        <w:pStyle w:val="Odstavekseznama"/>
        <w:numPr>
          <w:ilvl w:val="0"/>
          <w:numId w:val="2"/>
        </w:numPr>
        <w:spacing w:line="360" w:lineRule="auto"/>
        <w:rPr>
          <w:rFonts w:asciiTheme="minorHAnsi" w:eastAsiaTheme="minorHAnsi" w:hAnsiTheme="minorHAnsi" w:cstheme="minorBidi"/>
          <w:sz w:val="22"/>
          <w:szCs w:val="22"/>
          <w:lang w:eastAsia="en-US"/>
        </w:rPr>
      </w:pPr>
      <w:r w:rsidRPr="0087333F">
        <w:rPr>
          <w:rFonts w:asciiTheme="minorHAnsi" w:eastAsiaTheme="minorHAnsi" w:hAnsiTheme="minorHAnsi" w:cstheme="minorBidi"/>
          <w:sz w:val="22"/>
          <w:szCs w:val="22"/>
          <w:lang w:eastAsia="en-US"/>
        </w:rPr>
        <w:t>lego in namembnost ter smotrno izkoriščanje stavbnega zemljišča,</w:t>
      </w:r>
    </w:p>
    <w:p w:rsidR="00E16208" w:rsidRPr="0087333F" w:rsidRDefault="00E16208" w:rsidP="00E16208">
      <w:pPr>
        <w:pStyle w:val="Odstavekseznama"/>
        <w:numPr>
          <w:ilvl w:val="0"/>
          <w:numId w:val="2"/>
        </w:numPr>
        <w:spacing w:line="360" w:lineRule="auto"/>
        <w:rPr>
          <w:rFonts w:asciiTheme="minorHAnsi" w:eastAsiaTheme="minorHAnsi" w:hAnsiTheme="minorHAnsi" w:cstheme="minorBidi"/>
          <w:sz w:val="22"/>
          <w:szCs w:val="22"/>
          <w:lang w:eastAsia="en-US"/>
        </w:rPr>
      </w:pPr>
      <w:r w:rsidRPr="0087333F">
        <w:rPr>
          <w:rFonts w:asciiTheme="minorHAnsi" w:eastAsiaTheme="minorHAnsi" w:hAnsiTheme="minorHAnsi" w:cstheme="minorBidi"/>
          <w:sz w:val="22"/>
          <w:szCs w:val="22"/>
          <w:lang w:eastAsia="en-US"/>
        </w:rPr>
        <w:t>opremljenost stavbnega zemljišča s komunalnimi in drugimi objekti in napravami in možnost priključitve za te objekte in naprave,</w:t>
      </w:r>
    </w:p>
    <w:p w:rsidR="00E16208" w:rsidRDefault="00E16208" w:rsidP="00E16208">
      <w:pPr>
        <w:pStyle w:val="Odstavekseznama"/>
        <w:numPr>
          <w:ilvl w:val="0"/>
          <w:numId w:val="2"/>
        </w:numPr>
        <w:spacing w:line="360" w:lineRule="auto"/>
        <w:rPr>
          <w:rFonts w:asciiTheme="minorHAnsi" w:eastAsiaTheme="minorHAnsi" w:hAnsiTheme="minorHAnsi" w:cstheme="minorBidi"/>
          <w:sz w:val="22"/>
          <w:szCs w:val="22"/>
          <w:lang w:eastAsia="en-US"/>
        </w:rPr>
      </w:pPr>
      <w:r w:rsidRPr="0087333F">
        <w:rPr>
          <w:rFonts w:asciiTheme="minorHAnsi" w:eastAsiaTheme="minorHAnsi" w:hAnsiTheme="minorHAnsi" w:cstheme="minorBidi"/>
          <w:sz w:val="22"/>
          <w:szCs w:val="22"/>
          <w:lang w:eastAsia="en-US"/>
        </w:rPr>
        <w:t>merila za oprostitev plačevanja nadomestila</w:t>
      </w:r>
      <w:r>
        <w:rPr>
          <w:rFonts w:asciiTheme="minorHAnsi" w:eastAsiaTheme="minorHAnsi" w:hAnsiTheme="minorHAnsi" w:cstheme="minorBidi"/>
          <w:sz w:val="22"/>
          <w:szCs w:val="22"/>
          <w:lang w:eastAsia="en-US"/>
        </w:rPr>
        <w:t>.</w:t>
      </w:r>
    </w:p>
    <w:p w:rsidR="00E16208" w:rsidRDefault="00E16208" w:rsidP="00E16208">
      <w:pPr>
        <w:pStyle w:val="Naslov1"/>
        <w:numPr>
          <w:ilvl w:val="0"/>
          <w:numId w:val="1"/>
        </w:numPr>
        <w:spacing w:after="240"/>
        <w:rPr>
          <w:sz w:val="28"/>
          <w:szCs w:val="28"/>
        </w:rPr>
      </w:pPr>
      <w:r w:rsidRPr="00E16208">
        <w:rPr>
          <w:sz w:val="28"/>
          <w:szCs w:val="28"/>
        </w:rPr>
        <w:lastRenderedPageBreak/>
        <w:t>Razlogi za sprejem novega odloka</w:t>
      </w:r>
    </w:p>
    <w:p w:rsidR="00E16208" w:rsidRDefault="00E16208" w:rsidP="00E16208">
      <w:pPr>
        <w:jc w:val="both"/>
      </w:pPr>
      <w:r>
        <w:t xml:space="preserve">Občina Kidričevo je bila dne 27. 3. 2020 obveščena o tem, da je ena izmed občin, ki je bila izbrana za izvedbo naknadnega nadzora zakonitosti odlokov o NUSZ s strani MOP. V postopku je bilo ugotovljeno, da določena določila odloka </w:t>
      </w:r>
      <w:r w:rsidR="00254F6C">
        <w:t xml:space="preserve">o NUSZ </w:t>
      </w:r>
      <w:r>
        <w:t>niso skladna z zakoni, zato je bila pozvana, da pripravi odlok, ki bo skladen z zakonodajo in priporočili ministrstev.</w:t>
      </w:r>
      <w:r w:rsidR="00042D2D">
        <w:t xml:space="preserve"> V postopku priprave novega odloka so bile anomalije odpravljene, težilo pa se je tudi k temu, da za občino prihodek iz naslova NUSZ </w:t>
      </w:r>
      <w:r w:rsidR="00E14853">
        <w:t>ostane na karseda</w:t>
      </w:r>
      <w:r w:rsidR="00042D2D">
        <w:t xml:space="preserve"> enaki ravni kot doslej</w:t>
      </w:r>
      <w:r w:rsidR="00E14853">
        <w:t>, čeprav je to vodilo težko zasledovati zaradi predrugačenja razmerij točkovanja iz naslova komunalne opremljenosti in namena ter lege stavbnih zemljišč</w:t>
      </w:r>
      <w:r w:rsidR="00042D2D">
        <w:t>.</w:t>
      </w:r>
    </w:p>
    <w:p w:rsidR="00042D2D" w:rsidRDefault="00E14853" w:rsidP="00E16208">
      <w:pPr>
        <w:jc w:val="both"/>
      </w:pPr>
      <w:r>
        <w:t xml:space="preserve">Pripombe, ki jih je podal </w:t>
      </w:r>
      <w:r w:rsidR="006F716A">
        <w:t>MOP se nanašajo zlasti na neuravnovešeno razmerje vrednosti točk za komunalno opremljenost glede na točkovanje namembnosti, poleg tega pa določena določila nimajo zakonske podlage. To so zlasti določila, ki se nanašajo na odmerjanje</w:t>
      </w:r>
      <w:r>
        <w:t xml:space="preserve"> nadomestila</w:t>
      </w:r>
      <w:r w:rsidR="006F716A">
        <w:t xml:space="preserve"> za objekte podzemnih vodov za telekomunikacije, plinovod, bazne postaje in določanje površin peskokopov, glinokopov in kamnolomov kot zazidljivih površin (tretji,  četrti, peti, sedmi odstavek 9. člena), določila, ki določajo </w:t>
      </w:r>
      <w:r w:rsidR="00546D83">
        <w:t>da se</w:t>
      </w:r>
      <w:r w:rsidR="006F716A">
        <w:t xml:space="preserve"> </w:t>
      </w:r>
      <w:r w:rsidR="00546D83">
        <w:t>točkovanje</w:t>
      </w:r>
      <w:r w:rsidR="006F716A">
        <w:t xml:space="preserve"> za komunalno opremljenost</w:t>
      </w:r>
      <w:r w:rsidR="00546D83">
        <w:t xml:space="preserve"> ne določajo za nezazidana stavbna zemljišča</w:t>
      </w:r>
      <w:r w:rsidR="006F716A">
        <w:t xml:space="preserve">, določila, ki določajo izvajanje oprostitev in postopkov zavezancev za javljanje sprememb. </w:t>
      </w:r>
      <w:r w:rsidR="00546D83">
        <w:t>Neustrezno je tudi kakršno koli pavšalno odmerjanje nadomestila za zavezance, ki sami ne prijavijo podatkov ter odmerjanje nadomestila za poslovno dejavnost na podlagi ocene občinske uprave brez podatkov.</w:t>
      </w:r>
    </w:p>
    <w:p w:rsidR="00546D83" w:rsidRDefault="00447283" w:rsidP="00E16208">
      <w:pPr>
        <w:jc w:val="both"/>
      </w:pPr>
      <w:r>
        <w:t xml:space="preserve">Poleg tega je </w:t>
      </w:r>
      <w:r w:rsidR="00254F6C">
        <w:t xml:space="preserve">MOP opozorilo na </w:t>
      </w:r>
      <w:r>
        <w:t xml:space="preserve">neustrezno določanje višine vrednosti točke za leta 2014 – 2017, saj je na podlagi razveljavitve </w:t>
      </w:r>
      <w:proofErr w:type="spellStart"/>
      <w:r>
        <w:t>ZDavNepr</w:t>
      </w:r>
      <w:proofErr w:type="spellEnd"/>
      <w:r>
        <w:t xml:space="preserve">. bilo odloke mogoče uporabljati zgolj take, kot so bili v času razveljavitve </w:t>
      </w:r>
      <w:proofErr w:type="spellStart"/>
      <w:r>
        <w:t>ZDavNepr</w:t>
      </w:r>
      <w:proofErr w:type="spellEnd"/>
      <w:r>
        <w:t xml:space="preserve">. Občina bi lahko sprejela nov sklep o določitvi vrednosti točke le v primeru, če je za to obstajala podlaga v drugem veljavnem pravnem aktu, npr. statutu občine, ki občinskemu svetu daje izrecno pooblastilo za sprejemanje sklepa o določitvi vrednosti točke za obračun NUSZ. Takšno pravno podlago je očina neustrezno poskušala zagotoviti s sprejetjem SD statuta, ki so stopile v veljavo dne 9. 12. 20217, se pravi po tem, ko je bila vrednost točke za odmero NUSZ s sklepi o določitvi vrednosti točke za zgoraj omenjena leta že spremenjena in po tem, ko je na podlagi razveljavite </w:t>
      </w:r>
      <w:proofErr w:type="spellStart"/>
      <w:r>
        <w:t>ZDavNepr</w:t>
      </w:r>
      <w:proofErr w:type="spellEnd"/>
      <w:r>
        <w:t xml:space="preserve"> odloke bilo mogoče uporabljati zgolj take, kot so bili v veljavi v času razveljavitve </w:t>
      </w:r>
      <w:proofErr w:type="spellStart"/>
      <w:r>
        <w:t>ZDavNepr</w:t>
      </w:r>
      <w:proofErr w:type="spellEnd"/>
      <w:r>
        <w:t>. Že v 155. členu Ustave republike Slovenije je določeno, da predpisi ne morejo imeti učinka za nazaj. Posledično je občina s sprejetjem spremembe Statuta, ki določa, da občinski svet sprejema sklepe o določitvi vrednosti točke za izračun NUSZ, posegla v vsebino odloka in v nasprotju z URS spremenila izhodiščno vrednost točke.</w:t>
      </w:r>
    </w:p>
    <w:p w:rsidR="00254F6C" w:rsidRDefault="00254F6C" w:rsidP="00E16208">
      <w:pPr>
        <w:jc w:val="both"/>
      </w:pPr>
      <w:r>
        <w:t>Po dogovoru Z MOP, se je Občina Kidričevo odločila pristopiti k pripravi novega odloka</w:t>
      </w:r>
      <w:r w:rsidR="00F653CC">
        <w:t>,</w:t>
      </w:r>
      <w:r>
        <w:t xml:space="preserve"> s čimer se bodo odpravile vse očitane nepravilnosti in z uskladitvijo razmerij pri določanju števila točk hkrati zagotovila bolj enakopravno obremenitev zavezancev. </w:t>
      </w:r>
    </w:p>
    <w:p w:rsidR="00E16208" w:rsidRDefault="00606FD7" w:rsidP="00254F6C">
      <w:pPr>
        <w:pStyle w:val="Naslov1"/>
        <w:numPr>
          <w:ilvl w:val="0"/>
          <w:numId w:val="1"/>
        </w:numPr>
        <w:spacing w:after="240"/>
        <w:rPr>
          <w:sz w:val="28"/>
          <w:szCs w:val="28"/>
        </w:rPr>
      </w:pPr>
      <w:r>
        <w:rPr>
          <w:sz w:val="28"/>
          <w:szCs w:val="28"/>
        </w:rPr>
        <w:t>P</w:t>
      </w:r>
      <w:r w:rsidR="00254F6C">
        <w:rPr>
          <w:sz w:val="28"/>
          <w:szCs w:val="28"/>
        </w:rPr>
        <w:t>ravna podlaga</w:t>
      </w:r>
    </w:p>
    <w:p w:rsidR="00254F6C" w:rsidRPr="00240F67" w:rsidRDefault="00254F6C" w:rsidP="00254F6C">
      <w:r>
        <w:t>Pravno podlago za sprejem Odloka o nadomestilu za uporabo stavbnega zemljišča v občini Kidričevo predstavljajo naslednji predpisi:</w:t>
      </w:r>
    </w:p>
    <w:p w:rsidR="00254F6C" w:rsidRPr="00240F67" w:rsidRDefault="00254F6C" w:rsidP="00254F6C">
      <w:pPr>
        <w:pStyle w:val="Odstavekseznama"/>
        <w:numPr>
          <w:ilvl w:val="0"/>
          <w:numId w:val="3"/>
        </w:numPr>
        <w:rPr>
          <w:rFonts w:asciiTheme="minorHAnsi" w:eastAsiaTheme="majorEastAsia" w:hAnsiTheme="minorHAnsi" w:cstheme="minorHAnsi"/>
          <w:sz w:val="22"/>
          <w:szCs w:val="22"/>
        </w:rPr>
      </w:pPr>
      <w:r w:rsidRPr="00240F67">
        <w:rPr>
          <w:rFonts w:asciiTheme="minorHAnsi" w:hAnsiTheme="minorHAnsi" w:cstheme="minorHAnsi"/>
          <w:sz w:val="22"/>
          <w:szCs w:val="22"/>
        </w:rPr>
        <w:t>55. člena Zakona o izvrševanju proračunov za leti 2021 in 2022 (Uradni list RS, št. </w:t>
      </w:r>
      <w:hyperlink r:id="rId10" w:tgtFrame="_blank" w:tooltip="Zakon o izvrševanju proračunov Republike Slovenije za leti 2021 in 2022 (ZIPRS2122)" w:history="1">
        <w:r w:rsidRPr="00240F67">
          <w:rPr>
            <w:rFonts w:asciiTheme="minorHAnsi" w:hAnsiTheme="minorHAnsi" w:cstheme="minorHAnsi"/>
            <w:sz w:val="22"/>
            <w:szCs w:val="22"/>
          </w:rPr>
          <w:t>174/20</w:t>
        </w:r>
      </w:hyperlink>
      <w:r w:rsidRPr="00240F67">
        <w:rPr>
          <w:rFonts w:asciiTheme="minorHAnsi" w:hAnsiTheme="minorHAnsi" w:cstheme="minorHAnsi"/>
          <w:sz w:val="22"/>
          <w:szCs w:val="22"/>
        </w:rPr>
        <w:t>, </w:t>
      </w:r>
      <w:hyperlink r:id="rId11" w:tgtFrame="_blank" w:tooltip="Zakon o dodatnih ukrepih za omilitev posledic COVID-19 " w:history="1">
        <w:r w:rsidRPr="00240F67">
          <w:rPr>
            <w:rFonts w:asciiTheme="minorHAnsi" w:hAnsiTheme="minorHAnsi" w:cstheme="minorHAnsi"/>
            <w:sz w:val="22"/>
            <w:szCs w:val="22"/>
          </w:rPr>
          <w:t>15/21</w:t>
        </w:r>
      </w:hyperlink>
      <w:r w:rsidRPr="00240F67">
        <w:rPr>
          <w:rFonts w:asciiTheme="minorHAnsi" w:hAnsiTheme="minorHAnsi" w:cstheme="minorHAnsi"/>
          <w:sz w:val="22"/>
          <w:szCs w:val="22"/>
        </w:rPr>
        <w:t> – ZDUOP in </w:t>
      </w:r>
      <w:hyperlink r:id="rId12" w:tgtFrame="_blank" w:tooltip="Zakon o spremembah in dopolnitvi Zakona o izvrševanju proračuna Republike Slovenije za leti 2021 in 2022" w:history="1">
        <w:r w:rsidRPr="00240F67">
          <w:rPr>
            <w:rFonts w:asciiTheme="minorHAnsi" w:hAnsiTheme="minorHAnsi" w:cstheme="minorHAnsi"/>
            <w:sz w:val="22"/>
            <w:szCs w:val="22"/>
          </w:rPr>
          <w:t>74/21</w:t>
        </w:r>
      </w:hyperlink>
      <w:r w:rsidRPr="00240F67">
        <w:rPr>
          <w:rFonts w:asciiTheme="minorHAnsi" w:hAnsiTheme="minorHAnsi" w:cstheme="minorHAnsi"/>
          <w:sz w:val="22"/>
          <w:szCs w:val="22"/>
        </w:rPr>
        <w:t>),</w:t>
      </w:r>
    </w:p>
    <w:p w:rsidR="00254F6C" w:rsidRPr="00240F67" w:rsidRDefault="00254F6C" w:rsidP="00254F6C">
      <w:pPr>
        <w:pStyle w:val="Odstavekseznama"/>
        <w:numPr>
          <w:ilvl w:val="0"/>
          <w:numId w:val="3"/>
        </w:numPr>
        <w:rPr>
          <w:rFonts w:asciiTheme="minorHAnsi" w:eastAsiaTheme="majorEastAsia" w:hAnsiTheme="minorHAnsi" w:cstheme="minorHAnsi"/>
          <w:sz w:val="22"/>
          <w:szCs w:val="22"/>
        </w:rPr>
      </w:pPr>
      <w:r w:rsidRPr="00240F67">
        <w:rPr>
          <w:rFonts w:asciiTheme="minorHAnsi" w:hAnsiTheme="minorHAnsi" w:cstheme="minorHAnsi"/>
          <w:sz w:val="22"/>
          <w:szCs w:val="22"/>
        </w:rPr>
        <w:t xml:space="preserve">prva in tretja alineja 41. člena ter določbe VI. poglavja Zakona o stavbnih zemljiščih (Uradni list SRS, št. 18/84, 32/85 – </w:t>
      </w:r>
      <w:proofErr w:type="spellStart"/>
      <w:r w:rsidRPr="00240F67">
        <w:rPr>
          <w:rFonts w:asciiTheme="minorHAnsi" w:hAnsiTheme="minorHAnsi" w:cstheme="minorHAnsi"/>
          <w:sz w:val="22"/>
          <w:szCs w:val="22"/>
        </w:rPr>
        <w:t>popr</w:t>
      </w:r>
      <w:proofErr w:type="spellEnd"/>
      <w:r w:rsidRPr="00240F67">
        <w:rPr>
          <w:rFonts w:asciiTheme="minorHAnsi" w:hAnsiTheme="minorHAnsi" w:cstheme="minorHAnsi"/>
          <w:sz w:val="22"/>
          <w:szCs w:val="22"/>
        </w:rPr>
        <w:t xml:space="preserve">. in 33/89 ter Uradni list RS, št. 24/92 – </w:t>
      </w:r>
      <w:proofErr w:type="spellStart"/>
      <w:r w:rsidRPr="00240F67">
        <w:rPr>
          <w:rFonts w:asciiTheme="minorHAnsi" w:hAnsiTheme="minorHAnsi" w:cstheme="minorHAnsi"/>
          <w:sz w:val="22"/>
          <w:szCs w:val="22"/>
        </w:rPr>
        <w:t>odl</w:t>
      </w:r>
      <w:proofErr w:type="spellEnd"/>
      <w:r w:rsidRPr="00240F67">
        <w:rPr>
          <w:rFonts w:asciiTheme="minorHAnsi" w:hAnsiTheme="minorHAnsi" w:cstheme="minorHAnsi"/>
          <w:sz w:val="22"/>
          <w:szCs w:val="22"/>
        </w:rPr>
        <w:t xml:space="preserve">. US, 44/97 – ZSZ, 101/13 – </w:t>
      </w:r>
      <w:proofErr w:type="spellStart"/>
      <w:r w:rsidRPr="00240F67">
        <w:rPr>
          <w:rFonts w:asciiTheme="minorHAnsi" w:hAnsiTheme="minorHAnsi" w:cstheme="minorHAnsi"/>
          <w:sz w:val="22"/>
          <w:szCs w:val="22"/>
        </w:rPr>
        <w:t>ZDavNepr</w:t>
      </w:r>
      <w:proofErr w:type="spellEnd"/>
      <w:r w:rsidRPr="00240F67">
        <w:rPr>
          <w:rFonts w:asciiTheme="minorHAnsi" w:hAnsiTheme="minorHAnsi" w:cstheme="minorHAnsi"/>
          <w:sz w:val="22"/>
          <w:szCs w:val="22"/>
        </w:rPr>
        <w:t xml:space="preserve"> in 22/14 – </w:t>
      </w:r>
      <w:proofErr w:type="spellStart"/>
      <w:r w:rsidRPr="00240F67">
        <w:rPr>
          <w:rFonts w:asciiTheme="minorHAnsi" w:hAnsiTheme="minorHAnsi" w:cstheme="minorHAnsi"/>
          <w:sz w:val="22"/>
          <w:szCs w:val="22"/>
        </w:rPr>
        <w:t>odl</w:t>
      </w:r>
      <w:proofErr w:type="spellEnd"/>
      <w:r w:rsidRPr="00240F67">
        <w:rPr>
          <w:rFonts w:asciiTheme="minorHAnsi" w:hAnsiTheme="minorHAnsi" w:cstheme="minorHAnsi"/>
          <w:sz w:val="22"/>
          <w:szCs w:val="22"/>
        </w:rPr>
        <w:t>. US ;),</w:t>
      </w:r>
    </w:p>
    <w:p w:rsidR="00254F6C" w:rsidRPr="00240F67" w:rsidRDefault="00254F6C" w:rsidP="00254F6C">
      <w:pPr>
        <w:pStyle w:val="Odstavekseznama"/>
        <w:numPr>
          <w:ilvl w:val="0"/>
          <w:numId w:val="3"/>
        </w:numPr>
        <w:rPr>
          <w:rFonts w:asciiTheme="minorHAnsi" w:eastAsiaTheme="majorEastAsia" w:hAnsiTheme="minorHAnsi" w:cstheme="minorHAnsi"/>
          <w:sz w:val="22"/>
          <w:szCs w:val="22"/>
        </w:rPr>
      </w:pPr>
      <w:r w:rsidRPr="00240F67">
        <w:rPr>
          <w:rFonts w:asciiTheme="minorHAnsi" w:hAnsiTheme="minorHAnsi" w:cstheme="minorHAnsi"/>
          <w:sz w:val="22"/>
          <w:szCs w:val="22"/>
        </w:rPr>
        <w:t xml:space="preserve">218. člen, 218.a člen, 218.b </w:t>
      </w:r>
      <w:proofErr w:type="spellStart"/>
      <w:r w:rsidRPr="00240F67">
        <w:rPr>
          <w:rFonts w:asciiTheme="minorHAnsi" w:hAnsiTheme="minorHAnsi" w:cstheme="minorHAnsi"/>
          <w:sz w:val="22"/>
          <w:szCs w:val="22"/>
        </w:rPr>
        <w:t>člea</w:t>
      </w:r>
      <w:proofErr w:type="spellEnd"/>
      <w:r w:rsidRPr="00240F67">
        <w:rPr>
          <w:rFonts w:asciiTheme="minorHAnsi" w:hAnsiTheme="minorHAnsi" w:cstheme="minorHAnsi"/>
          <w:sz w:val="22"/>
          <w:szCs w:val="22"/>
        </w:rPr>
        <w:t xml:space="preserve">, 218.c člen, 218.č člen in 218.d člen Zakona o graditvi objektov (Uradni list RS, št. 102/04 – uradno prečiščeno besedilo, 14/05 – </w:t>
      </w:r>
      <w:proofErr w:type="spellStart"/>
      <w:r w:rsidRPr="00240F67">
        <w:rPr>
          <w:rFonts w:asciiTheme="minorHAnsi" w:hAnsiTheme="minorHAnsi" w:cstheme="minorHAnsi"/>
          <w:sz w:val="22"/>
          <w:szCs w:val="22"/>
        </w:rPr>
        <w:t>popr</w:t>
      </w:r>
      <w:proofErr w:type="spellEnd"/>
      <w:r w:rsidRPr="00240F67">
        <w:rPr>
          <w:rFonts w:asciiTheme="minorHAnsi" w:hAnsiTheme="minorHAnsi" w:cstheme="minorHAnsi"/>
          <w:sz w:val="22"/>
          <w:szCs w:val="22"/>
        </w:rPr>
        <w:t>., 92/05 – ZJC-</w:t>
      </w:r>
      <w:r w:rsidRPr="00240F67">
        <w:rPr>
          <w:rFonts w:asciiTheme="minorHAnsi" w:hAnsiTheme="minorHAnsi" w:cstheme="minorHAnsi"/>
          <w:sz w:val="22"/>
          <w:szCs w:val="22"/>
        </w:rPr>
        <w:lastRenderedPageBreak/>
        <w:t xml:space="preserve">B, 93/05 – ZVMS, 111/05 – </w:t>
      </w:r>
      <w:proofErr w:type="spellStart"/>
      <w:r w:rsidRPr="00240F67">
        <w:rPr>
          <w:rFonts w:asciiTheme="minorHAnsi" w:hAnsiTheme="minorHAnsi" w:cstheme="minorHAnsi"/>
          <w:sz w:val="22"/>
          <w:szCs w:val="22"/>
        </w:rPr>
        <w:t>odl</w:t>
      </w:r>
      <w:proofErr w:type="spellEnd"/>
      <w:r w:rsidRPr="00240F67">
        <w:rPr>
          <w:rFonts w:asciiTheme="minorHAnsi" w:hAnsiTheme="minorHAnsi" w:cstheme="minorHAnsi"/>
          <w:sz w:val="22"/>
          <w:szCs w:val="22"/>
        </w:rPr>
        <w:t xml:space="preserve">. US, 126/07, 108/09, 61/10 – ZRud-1, 20/11 – </w:t>
      </w:r>
      <w:proofErr w:type="spellStart"/>
      <w:r w:rsidRPr="00240F67">
        <w:rPr>
          <w:rFonts w:asciiTheme="minorHAnsi" w:hAnsiTheme="minorHAnsi" w:cstheme="minorHAnsi"/>
          <w:sz w:val="22"/>
          <w:szCs w:val="22"/>
        </w:rPr>
        <w:t>odl</w:t>
      </w:r>
      <w:proofErr w:type="spellEnd"/>
      <w:r w:rsidRPr="00240F67">
        <w:rPr>
          <w:rFonts w:asciiTheme="minorHAnsi" w:hAnsiTheme="minorHAnsi" w:cstheme="minorHAnsi"/>
          <w:sz w:val="22"/>
          <w:szCs w:val="22"/>
        </w:rPr>
        <w:t xml:space="preserve">. US, 57/12, 101/13 – </w:t>
      </w:r>
      <w:proofErr w:type="spellStart"/>
      <w:r w:rsidRPr="00240F67">
        <w:rPr>
          <w:rFonts w:asciiTheme="minorHAnsi" w:hAnsiTheme="minorHAnsi" w:cstheme="minorHAnsi"/>
          <w:sz w:val="22"/>
          <w:szCs w:val="22"/>
        </w:rPr>
        <w:t>ZDavNepr</w:t>
      </w:r>
      <w:proofErr w:type="spellEnd"/>
      <w:r w:rsidRPr="00240F67">
        <w:rPr>
          <w:rFonts w:asciiTheme="minorHAnsi" w:hAnsiTheme="minorHAnsi" w:cstheme="minorHAnsi"/>
          <w:sz w:val="22"/>
          <w:szCs w:val="22"/>
        </w:rPr>
        <w:t xml:space="preserve">, 110/13, 19/15, 61/17 – GZ in 66/17 – </w:t>
      </w:r>
      <w:proofErr w:type="spellStart"/>
      <w:r w:rsidRPr="00240F67">
        <w:rPr>
          <w:rFonts w:asciiTheme="minorHAnsi" w:hAnsiTheme="minorHAnsi" w:cstheme="minorHAnsi"/>
          <w:sz w:val="22"/>
          <w:szCs w:val="22"/>
        </w:rPr>
        <w:t>odl</w:t>
      </w:r>
      <w:proofErr w:type="spellEnd"/>
      <w:r w:rsidRPr="00240F67">
        <w:rPr>
          <w:rFonts w:asciiTheme="minorHAnsi" w:hAnsiTheme="minorHAnsi" w:cstheme="minorHAnsi"/>
          <w:sz w:val="22"/>
          <w:szCs w:val="22"/>
        </w:rPr>
        <w:t>. US),</w:t>
      </w:r>
    </w:p>
    <w:p w:rsidR="00254F6C" w:rsidRPr="00240F67" w:rsidRDefault="00254F6C" w:rsidP="00254F6C">
      <w:pPr>
        <w:pStyle w:val="Odstavekseznama"/>
        <w:numPr>
          <w:ilvl w:val="0"/>
          <w:numId w:val="3"/>
        </w:numPr>
        <w:rPr>
          <w:rFonts w:asciiTheme="minorHAnsi" w:eastAsiaTheme="majorEastAsia" w:hAnsiTheme="minorHAnsi" w:cstheme="minorHAnsi"/>
          <w:sz w:val="22"/>
          <w:szCs w:val="22"/>
        </w:rPr>
      </w:pPr>
      <w:r w:rsidRPr="00240F67">
        <w:rPr>
          <w:rFonts w:asciiTheme="minorHAnsi" w:hAnsiTheme="minorHAnsi" w:cstheme="minorHAnsi"/>
          <w:sz w:val="22"/>
          <w:szCs w:val="22"/>
        </w:rPr>
        <w:t>29. člen </w:t>
      </w:r>
      <w:hyperlink r:id="rId13" w:history="1">
        <w:r w:rsidRPr="00240F67">
          <w:rPr>
            <w:rFonts w:asciiTheme="minorHAnsi" w:hAnsiTheme="minorHAnsi" w:cstheme="minorHAnsi"/>
            <w:sz w:val="22"/>
            <w:szCs w:val="22"/>
          </w:rPr>
          <w:t>Zakona o lokalni samoupravi</w:t>
        </w:r>
      </w:hyperlink>
      <w:r w:rsidRPr="00240F67">
        <w:rPr>
          <w:rFonts w:asciiTheme="minorHAnsi" w:hAnsiTheme="minorHAnsi" w:cstheme="minorHAnsi"/>
          <w:sz w:val="22"/>
          <w:szCs w:val="22"/>
        </w:rPr>
        <w:t> (Uradni list RS, št. 94/07 – uradno prečiščeno besedilo, 76/08, 79/09, 51/10, 40/12 – ZUJF, 14/15 – ZUUJFO, 11/18 – ZSPDSLS-1 in 30/18),</w:t>
      </w:r>
    </w:p>
    <w:p w:rsidR="00254F6C" w:rsidRPr="00240F67" w:rsidRDefault="00254F6C" w:rsidP="00240F67">
      <w:pPr>
        <w:pStyle w:val="Odstavekseznama"/>
        <w:numPr>
          <w:ilvl w:val="0"/>
          <w:numId w:val="3"/>
        </w:numPr>
        <w:jc w:val="both"/>
        <w:rPr>
          <w:rFonts w:asciiTheme="minorHAnsi" w:hAnsiTheme="minorHAnsi" w:cstheme="minorHAnsi"/>
          <w:sz w:val="22"/>
          <w:szCs w:val="22"/>
        </w:rPr>
      </w:pPr>
      <w:r w:rsidRPr="00240F67">
        <w:rPr>
          <w:rFonts w:asciiTheme="minorHAnsi" w:hAnsiTheme="minorHAnsi" w:cstheme="minorHAnsi"/>
          <w:sz w:val="22"/>
          <w:szCs w:val="22"/>
        </w:rPr>
        <w:t>Statut Občine Kidričevo (Uradno glasilo slovenskih občin, št. 62/2016).</w:t>
      </w:r>
    </w:p>
    <w:p w:rsidR="00254F6C" w:rsidRDefault="00240F67" w:rsidP="00240F67">
      <w:pPr>
        <w:pStyle w:val="Naslov1"/>
        <w:numPr>
          <w:ilvl w:val="0"/>
          <w:numId w:val="1"/>
        </w:numPr>
        <w:spacing w:after="240"/>
        <w:rPr>
          <w:sz w:val="28"/>
          <w:szCs w:val="28"/>
        </w:rPr>
      </w:pPr>
      <w:r w:rsidRPr="00240F67">
        <w:rPr>
          <w:sz w:val="28"/>
          <w:szCs w:val="28"/>
        </w:rPr>
        <w:t>Cilji in načela odloka</w:t>
      </w:r>
    </w:p>
    <w:p w:rsidR="00240F67" w:rsidRDefault="00240F67" w:rsidP="00240F67">
      <w:r>
        <w:t>Občina je pristopila k sprejemu novega odloka, da bi dosegla sledeče cilje:</w:t>
      </w:r>
    </w:p>
    <w:p w:rsidR="00240F67" w:rsidRPr="00240F67" w:rsidRDefault="00240F67" w:rsidP="00240F67">
      <w:pPr>
        <w:pStyle w:val="Odstavekseznama"/>
        <w:numPr>
          <w:ilvl w:val="0"/>
          <w:numId w:val="4"/>
        </w:numPr>
        <w:rPr>
          <w:rFonts w:asciiTheme="minorHAnsi" w:eastAsiaTheme="majorEastAsia" w:hAnsiTheme="minorHAnsi" w:cstheme="minorHAnsi"/>
          <w:sz w:val="22"/>
          <w:szCs w:val="22"/>
        </w:rPr>
      </w:pPr>
      <w:r w:rsidRPr="00240F67">
        <w:rPr>
          <w:rFonts w:asciiTheme="minorHAnsi" w:hAnsiTheme="minorHAnsi" w:cstheme="minorHAnsi"/>
          <w:sz w:val="22"/>
          <w:szCs w:val="22"/>
        </w:rPr>
        <w:t>uskladitev s predpisi in priporočili ministrstev,</w:t>
      </w:r>
    </w:p>
    <w:p w:rsidR="00240F67" w:rsidRPr="00240F67" w:rsidRDefault="00240F67" w:rsidP="00240F67">
      <w:pPr>
        <w:pStyle w:val="Odstavekseznama"/>
        <w:numPr>
          <w:ilvl w:val="0"/>
          <w:numId w:val="4"/>
        </w:numPr>
        <w:rPr>
          <w:rFonts w:asciiTheme="minorHAnsi" w:eastAsiaTheme="majorEastAsia" w:hAnsiTheme="minorHAnsi" w:cstheme="minorHAnsi"/>
          <w:sz w:val="22"/>
          <w:szCs w:val="22"/>
        </w:rPr>
      </w:pPr>
      <w:r w:rsidRPr="00240F67">
        <w:rPr>
          <w:rFonts w:asciiTheme="minorHAnsi" w:hAnsiTheme="minorHAnsi" w:cstheme="minorHAnsi"/>
          <w:sz w:val="22"/>
          <w:szCs w:val="22"/>
        </w:rPr>
        <w:t>uskladitev s predpisi glede določitve površin za katere s  nadomestilo odmerja,</w:t>
      </w:r>
    </w:p>
    <w:p w:rsidR="00240F67" w:rsidRPr="00240F67" w:rsidRDefault="00240F67" w:rsidP="00240F67">
      <w:pPr>
        <w:pStyle w:val="Odstavekseznama"/>
        <w:numPr>
          <w:ilvl w:val="0"/>
          <w:numId w:val="4"/>
        </w:numPr>
        <w:rPr>
          <w:rFonts w:asciiTheme="minorHAnsi" w:eastAsiaTheme="majorEastAsia" w:hAnsiTheme="minorHAnsi" w:cstheme="minorHAnsi"/>
          <w:sz w:val="22"/>
          <w:szCs w:val="22"/>
        </w:rPr>
      </w:pPr>
      <w:r w:rsidRPr="00240F67">
        <w:rPr>
          <w:rFonts w:asciiTheme="minorHAnsi" w:hAnsiTheme="minorHAnsi" w:cstheme="minorHAnsi"/>
          <w:sz w:val="22"/>
          <w:szCs w:val="22"/>
        </w:rPr>
        <w:t>določitev vrste podatkov, ki so osnova za odmero nadomestila,</w:t>
      </w:r>
    </w:p>
    <w:p w:rsidR="00240F67" w:rsidRDefault="00240F67" w:rsidP="00240F67">
      <w:pPr>
        <w:pStyle w:val="Odstavekseznama"/>
        <w:numPr>
          <w:ilvl w:val="0"/>
          <w:numId w:val="4"/>
        </w:numPr>
        <w:rPr>
          <w:rFonts w:asciiTheme="minorHAnsi" w:eastAsiaTheme="majorEastAsia" w:hAnsiTheme="minorHAnsi" w:cstheme="minorHAnsi"/>
          <w:sz w:val="22"/>
          <w:szCs w:val="22"/>
        </w:rPr>
      </w:pPr>
      <w:r w:rsidRPr="00240F67">
        <w:rPr>
          <w:rFonts w:asciiTheme="minorHAnsi" w:eastAsiaTheme="majorEastAsia" w:hAnsiTheme="minorHAnsi" w:cstheme="minorHAnsi"/>
          <w:sz w:val="22"/>
          <w:szCs w:val="22"/>
        </w:rPr>
        <w:t>uskladitev razmerij točkovanja iz naslova komunalne opreme napram t</w:t>
      </w:r>
      <w:r>
        <w:rPr>
          <w:rFonts w:asciiTheme="minorHAnsi" w:eastAsiaTheme="majorEastAsia" w:hAnsiTheme="minorHAnsi" w:cstheme="minorHAnsi"/>
          <w:sz w:val="22"/>
          <w:szCs w:val="22"/>
        </w:rPr>
        <w:t>očkovanju za lego in namembnost,</w:t>
      </w:r>
    </w:p>
    <w:p w:rsidR="00240F67" w:rsidRDefault="00240F67" w:rsidP="00240F67">
      <w:pPr>
        <w:pStyle w:val="Odstavekseznama"/>
        <w:numPr>
          <w:ilvl w:val="0"/>
          <w:numId w:val="4"/>
        </w:numPr>
        <w:rPr>
          <w:rFonts w:asciiTheme="minorHAnsi" w:eastAsiaTheme="majorEastAsia" w:hAnsiTheme="minorHAnsi" w:cstheme="minorHAnsi"/>
          <w:sz w:val="22"/>
          <w:szCs w:val="22"/>
        </w:rPr>
      </w:pPr>
      <w:r>
        <w:rPr>
          <w:rFonts w:asciiTheme="minorHAnsi" w:eastAsiaTheme="majorEastAsia" w:hAnsiTheme="minorHAnsi" w:cstheme="minorHAnsi"/>
          <w:sz w:val="22"/>
          <w:szCs w:val="22"/>
        </w:rPr>
        <w:t>določitev možnosti oprostitve nadomestila, skladno s predpisi in aktualno sodno prakso.</w:t>
      </w:r>
    </w:p>
    <w:p w:rsidR="00240F67" w:rsidRDefault="00240F67" w:rsidP="00240F67">
      <w:pPr>
        <w:rPr>
          <w:rFonts w:eastAsiaTheme="majorEastAsia" w:cstheme="minorHAnsi"/>
        </w:rPr>
      </w:pPr>
    </w:p>
    <w:p w:rsidR="00240F67" w:rsidRDefault="00240F67" w:rsidP="00240F67">
      <w:pPr>
        <w:pStyle w:val="Naslov1"/>
        <w:numPr>
          <w:ilvl w:val="0"/>
          <w:numId w:val="1"/>
        </w:numPr>
        <w:spacing w:after="240"/>
        <w:rPr>
          <w:sz w:val="28"/>
          <w:szCs w:val="28"/>
        </w:rPr>
      </w:pPr>
      <w:r>
        <w:rPr>
          <w:sz w:val="28"/>
          <w:szCs w:val="28"/>
        </w:rPr>
        <w:t>Ocena finančnih posledic odloka</w:t>
      </w:r>
    </w:p>
    <w:p w:rsidR="00240F67" w:rsidRDefault="00240F67" w:rsidP="00240F67">
      <w:pPr>
        <w:rPr>
          <w:rFonts w:eastAsiaTheme="majorEastAsia" w:cstheme="minorHAnsi"/>
        </w:rPr>
      </w:pPr>
      <w:r>
        <w:rPr>
          <w:rFonts w:eastAsiaTheme="majorEastAsia" w:cstheme="minorHAnsi"/>
        </w:rPr>
        <w:t xml:space="preserve">Zaradi uskladitve sorazmerij točkovanja za komunalno opremljenost glede na točkovanje za lego in namembnost stavbnega zemljišča, se predvideva znižanje odmere kot sledi iz spodnje tabele. </w:t>
      </w:r>
    </w:p>
    <w:tbl>
      <w:tblPr>
        <w:tblW w:w="9396" w:type="dxa"/>
        <w:tblCellMar>
          <w:left w:w="70" w:type="dxa"/>
          <w:right w:w="70" w:type="dxa"/>
        </w:tblCellMar>
        <w:tblLook w:val="04A0" w:firstRow="1" w:lastRow="0" w:firstColumn="1" w:lastColumn="0" w:noHBand="0" w:noVBand="1"/>
      </w:tblPr>
      <w:tblGrid>
        <w:gridCol w:w="5420"/>
        <w:gridCol w:w="1496"/>
        <w:gridCol w:w="1310"/>
        <w:gridCol w:w="1288"/>
      </w:tblGrid>
      <w:tr w:rsidR="00F653CC" w:rsidRPr="0086589A" w:rsidTr="0086589A">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3CC" w:rsidRPr="0086589A" w:rsidRDefault="00F653CC" w:rsidP="0086589A">
            <w:pPr>
              <w:spacing w:after="0" w:line="240" w:lineRule="auto"/>
              <w:rPr>
                <w:rFonts w:ascii="Calibri" w:eastAsia="Times New Roman" w:hAnsi="Calibri" w:cs="Calibri"/>
                <w:lang w:eastAsia="sl-SI"/>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653CC" w:rsidRPr="0086589A" w:rsidRDefault="00F653CC" w:rsidP="00F653CC">
            <w:pPr>
              <w:spacing w:after="0" w:line="240" w:lineRule="auto"/>
              <w:jc w:val="center"/>
              <w:rPr>
                <w:rFonts w:ascii="Calibri" w:eastAsia="Times New Roman" w:hAnsi="Calibri" w:cs="Calibri"/>
                <w:lang w:eastAsia="sl-SI"/>
              </w:rPr>
            </w:pPr>
            <w:r>
              <w:rPr>
                <w:rFonts w:ascii="Calibri" w:eastAsia="Times New Roman" w:hAnsi="Calibri" w:cs="Calibri"/>
                <w:lang w:eastAsia="sl-SI"/>
              </w:rPr>
              <w:t>Obstoječ odlok</w:t>
            </w:r>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F653CC" w:rsidRPr="0086589A" w:rsidRDefault="00F653CC" w:rsidP="00F653CC">
            <w:pPr>
              <w:spacing w:after="0" w:line="240" w:lineRule="auto"/>
              <w:rPr>
                <w:rFonts w:ascii="Calibri" w:eastAsia="Times New Roman" w:hAnsi="Calibri" w:cs="Calibri"/>
                <w:lang w:eastAsia="sl-SI"/>
              </w:rPr>
            </w:pPr>
            <w:r>
              <w:rPr>
                <w:rFonts w:ascii="Calibri" w:eastAsia="Times New Roman" w:hAnsi="Calibri" w:cs="Calibri"/>
                <w:lang w:eastAsia="sl-SI"/>
              </w:rPr>
              <w:t>Nov odlok</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F653CC" w:rsidRPr="0086589A" w:rsidRDefault="00F653CC" w:rsidP="0086589A">
            <w:pPr>
              <w:spacing w:after="0" w:line="240" w:lineRule="auto"/>
              <w:jc w:val="right"/>
              <w:rPr>
                <w:rFonts w:ascii="Calibri" w:eastAsia="Times New Roman" w:hAnsi="Calibri" w:cs="Calibri"/>
                <w:lang w:eastAsia="sl-SI"/>
              </w:rPr>
            </w:pPr>
            <w:r>
              <w:rPr>
                <w:rFonts w:ascii="Calibri" w:eastAsia="Times New Roman" w:hAnsi="Calibri" w:cs="Calibri"/>
                <w:lang w:eastAsia="sl-SI"/>
              </w:rPr>
              <w:t>Razlika</w:t>
            </w:r>
          </w:p>
        </w:tc>
      </w:tr>
      <w:tr w:rsidR="0086589A" w:rsidRPr="0086589A" w:rsidTr="0086589A">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JAVNA PODJETJA, ZAVODI</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487,49</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360,95</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-126,53</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KMETIJSKA PROIZVODNJA</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43.974,93</w:t>
            </w:r>
          </w:p>
        </w:tc>
        <w:tc>
          <w:tcPr>
            <w:tcW w:w="1192" w:type="dxa"/>
            <w:tcBorders>
              <w:top w:val="nil"/>
              <w:left w:val="nil"/>
              <w:bottom w:val="single" w:sz="4" w:space="0" w:color="auto"/>
              <w:right w:val="single" w:sz="4" w:space="0" w:color="auto"/>
            </w:tcBorders>
            <w:shd w:val="clear" w:color="000000" w:fill="FFFFFF"/>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47.431,61</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3.456,68</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NEZAZIDANO STAVBNO ZEMLJIŠČE - POSLOVNO FINANČNI NAMEN (NF,NG)</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265.102,72</w:t>
            </w:r>
          </w:p>
        </w:tc>
        <w:tc>
          <w:tcPr>
            <w:tcW w:w="1192"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266.956,05</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1.853,33</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NEZAZIDANO STAVBNO ZEMLJIŠČE - POSLOVNO GOSPODARSKI NAMEN</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173.410,48</w:t>
            </w:r>
          </w:p>
        </w:tc>
        <w:tc>
          <w:tcPr>
            <w:tcW w:w="1192"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174.015,77</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605,29</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NEZAZIDANO STAVBNO ZEMLJIŠČE - STANOVANJSKI NAMEN (NA, NB)</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64.564,68</w:t>
            </w:r>
          </w:p>
        </w:tc>
        <w:tc>
          <w:tcPr>
            <w:tcW w:w="1192"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64.878,87</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314,19</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OSTALO ZAZIDANO STAVBNO ZEMLJIŠČE (NC, ND)</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127.233,74</w:t>
            </w:r>
          </w:p>
        </w:tc>
        <w:tc>
          <w:tcPr>
            <w:tcW w:w="1192"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133.120,44</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5.886,70</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POSLOVNI, POČITNIŠKI NAMEN</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1.698,26</w:t>
            </w:r>
          </w:p>
        </w:tc>
        <w:tc>
          <w:tcPr>
            <w:tcW w:w="1192"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1.157,33</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-540,93</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POSLOVNO FINANČNI NAMEN</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17.088,78</w:t>
            </w:r>
          </w:p>
        </w:tc>
        <w:tc>
          <w:tcPr>
            <w:tcW w:w="1192"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9.800,34</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-7.288,44</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POSLOVNO GOSPODARSKI NAMEN</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318.623,11</w:t>
            </w:r>
          </w:p>
        </w:tc>
        <w:tc>
          <w:tcPr>
            <w:tcW w:w="1192"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235.218,87</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-83.404,24</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PROIZVODNJA ELEKTRIČNE ENERGIJE IN  PLINSKIH GORIV</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58.491,97</w:t>
            </w:r>
          </w:p>
        </w:tc>
        <w:tc>
          <w:tcPr>
            <w:tcW w:w="1192"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27.796,20</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-30.695,78</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STANOVANJSKI NAMEN</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135.754,90</w:t>
            </w:r>
          </w:p>
        </w:tc>
        <w:tc>
          <w:tcPr>
            <w:tcW w:w="1192"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131.656,77</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-4.098,13</w:t>
            </w:r>
          </w:p>
        </w:tc>
      </w:tr>
      <w:tr w:rsidR="0086589A" w:rsidRPr="0086589A" w:rsidTr="0086589A">
        <w:trPr>
          <w:trHeight w:val="30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rPr>
                <w:rFonts w:ascii="Calibri" w:eastAsia="Times New Roman" w:hAnsi="Calibri" w:cs="Calibri"/>
                <w:lang w:eastAsia="sl-SI"/>
              </w:rPr>
            </w:pPr>
            <w:r w:rsidRPr="0086589A">
              <w:rPr>
                <w:rFonts w:ascii="Calibri" w:eastAsia="Times New Roman" w:hAnsi="Calibri" w:cs="Calibri"/>
                <w:lang w:eastAsia="sl-SI"/>
              </w:rPr>
              <w:t> </w:t>
            </w:r>
          </w:p>
        </w:tc>
        <w:tc>
          <w:tcPr>
            <w:tcW w:w="1496"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1.206.431,05</w:t>
            </w:r>
          </w:p>
        </w:tc>
        <w:tc>
          <w:tcPr>
            <w:tcW w:w="1192"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1.092.393,20</w:t>
            </w:r>
          </w:p>
        </w:tc>
        <w:tc>
          <w:tcPr>
            <w:tcW w:w="1288" w:type="dxa"/>
            <w:tcBorders>
              <w:top w:val="nil"/>
              <w:left w:val="nil"/>
              <w:bottom w:val="single" w:sz="4" w:space="0" w:color="auto"/>
              <w:right w:val="single" w:sz="4" w:space="0" w:color="auto"/>
            </w:tcBorders>
            <w:shd w:val="clear" w:color="auto" w:fill="auto"/>
            <w:noWrap/>
            <w:vAlign w:val="bottom"/>
            <w:hideMark/>
          </w:tcPr>
          <w:p w:rsidR="0086589A" w:rsidRPr="0086589A" w:rsidRDefault="0086589A" w:rsidP="0086589A">
            <w:pPr>
              <w:spacing w:after="0" w:line="240" w:lineRule="auto"/>
              <w:jc w:val="right"/>
              <w:rPr>
                <w:rFonts w:ascii="Calibri" w:eastAsia="Times New Roman" w:hAnsi="Calibri" w:cs="Calibri"/>
                <w:lang w:eastAsia="sl-SI"/>
              </w:rPr>
            </w:pPr>
            <w:r w:rsidRPr="0086589A">
              <w:rPr>
                <w:rFonts w:ascii="Calibri" w:eastAsia="Times New Roman" w:hAnsi="Calibri" w:cs="Calibri"/>
                <w:lang w:eastAsia="sl-SI"/>
              </w:rPr>
              <w:t>-114.037,85</w:t>
            </w:r>
          </w:p>
        </w:tc>
      </w:tr>
    </w:tbl>
    <w:p w:rsidR="0086589A" w:rsidRDefault="0086589A" w:rsidP="00240F67">
      <w:pPr>
        <w:rPr>
          <w:rFonts w:eastAsiaTheme="majorEastAsia" w:cstheme="minorHAnsi"/>
        </w:rPr>
      </w:pPr>
    </w:p>
    <w:p w:rsidR="00F653CC" w:rsidRDefault="0086589A" w:rsidP="00CA3017">
      <w:pPr>
        <w:jc w:val="both"/>
        <w:rPr>
          <w:rFonts w:eastAsiaTheme="majorEastAsia" w:cstheme="minorHAnsi"/>
        </w:rPr>
      </w:pPr>
      <w:r>
        <w:rPr>
          <w:rFonts w:eastAsiaTheme="majorEastAsia" w:cstheme="minorHAnsi"/>
        </w:rPr>
        <w:t>Zaradi znižanja razmerja pri točkovanju komunalne opreme glede na točkovanje za namen in lego</w:t>
      </w:r>
      <w:r w:rsidR="00CA3017">
        <w:rPr>
          <w:rFonts w:eastAsiaTheme="majorEastAsia" w:cstheme="minorHAnsi"/>
        </w:rPr>
        <w:t>, se odmera zniža za cca. 10%. N</w:t>
      </w:r>
      <w:r>
        <w:rPr>
          <w:rFonts w:eastAsiaTheme="majorEastAsia" w:cstheme="minorHAnsi"/>
        </w:rPr>
        <w:t xml:space="preserve">ajvečji izpad </w:t>
      </w:r>
      <w:r w:rsidR="00CA3017">
        <w:rPr>
          <w:rFonts w:eastAsiaTheme="majorEastAsia" w:cstheme="minorHAnsi"/>
        </w:rPr>
        <w:t>priliva za občino bo</w:t>
      </w:r>
      <w:r>
        <w:rPr>
          <w:rFonts w:eastAsiaTheme="majorEastAsia" w:cstheme="minorHAnsi"/>
        </w:rPr>
        <w:t xml:space="preserve"> na račun namembnosti poslovne dejavnosti, saj se je za te namene točkovanje v primerjavi z obstoječim odlokom najbolj znižalo. </w:t>
      </w:r>
      <w:r w:rsidR="00CA3017">
        <w:rPr>
          <w:rFonts w:eastAsiaTheme="majorEastAsia" w:cstheme="minorHAnsi"/>
        </w:rPr>
        <w:t>Manjši upad priliva bo viden z naslova stanovanjskih stavb, iz naslova nezazidanih stavbnih zemljišč pa se predvideva rahlo povečanje priliva.</w:t>
      </w:r>
    </w:p>
    <w:p w:rsidR="0086589A" w:rsidRPr="00F653CC" w:rsidRDefault="00F653CC" w:rsidP="00F653CC">
      <w:r>
        <w:br w:type="page"/>
      </w:r>
    </w:p>
    <w:p w:rsidR="005808DF" w:rsidRPr="002428CB" w:rsidRDefault="002428CB" w:rsidP="002428CB">
      <w:pPr>
        <w:pStyle w:val="Naslov1"/>
        <w:numPr>
          <w:ilvl w:val="0"/>
          <w:numId w:val="1"/>
        </w:numPr>
        <w:spacing w:after="240"/>
        <w:rPr>
          <w:sz w:val="28"/>
          <w:szCs w:val="28"/>
        </w:rPr>
      </w:pPr>
      <w:r w:rsidRPr="002428CB">
        <w:rPr>
          <w:sz w:val="28"/>
          <w:szCs w:val="28"/>
        </w:rPr>
        <w:lastRenderedPageBreak/>
        <w:t>Obrazložitev k členom</w:t>
      </w:r>
    </w:p>
    <w:p w:rsidR="009E2E46" w:rsidRDefault="00660F14" w:rsidP="003D6B21">
      <w:pPr>
        <w:jc w:val="both"/>
        <w:rPr>
          <w:rFonts w:cstheme="minorHAnsi"/>
        </w:rPr>
      </w:pPr>
      <w:r>
        <w:rPr>
          <w:rFonts w:cstheme="minorHAnsi"/>
        </w:rPr>
        <w:t>K 1</w:t>
      </w:r>
      <w:r w:rsidR="009E2E46">
        <w:rPr>
          <w:rFonts w:cstheme="minorHAnsi"/>
        </w:rPr>
        <w:t xml:space="preserve">. </w:t>
      </w:r>
      <w:r w:rsidR="00A46773">
        <w:rPr>
          <w:rFonts w:cstheme="minorHAnsi"/>
        </w:rPr>
        <w:t>člen</w:t>
      </w:r>
      <w:r>
        <w:rPr>
          <w:rFonts w:cstheme="minorHAnsi"/>
        </w:rPr>
        <w:t>u</w:t>
      </w:r>
    </w:p>
    <w:p w:rsidR="009E2E46" w:rsidRDefault="00660F14" w:rsidP="003D6B21">
      <w:pPr>
        <w:jc w:val="both"/>
        <w:rPr>
          <w:rFonts w:cstheme="minorHAnsi"/>
        </w:rPr>
      </w:pPr>
      <w:r>
        <w:rPr>
          <w:rFonts w:cstheme="minorHAnsi"/>
        </w:rPr>
        <w:t>Ta člen obravnava vsebino odloka</w:t>
      </w:r>
      <w:r w:rsidR="00F653CC">
        <w:rPr>
          <w:rFonts w:cstheme="minorHAnsi"/>
        </w:rPr>
        <w:t>.</w:t>
      </w:r>
    </w:p>
    <w:p w:rsidR="00660F14" w:rsidRDefault="00660F14" w:rsidP="003D6B21">
      <w:pPr>
        <w:jc w:val="both"/>
        <w:rPr>
          <w:rFonts w:cstheme="minorHAnsi"/>
        </w:rPr>
      </w:pPr>
      <w:r>
        <w:rPr>
          <w:rFonts w:cstheme="minorHAnsi"/>
        </w:rPr>
        <w:t xml:space="preserve">K </w:t>
      </w:r>
      <w:r w:rsidR="009E2E46">
        <w:rPr>
          <w:rFonts w:cstheme="minorHAnsi"/>
        </w:rPr>
        <w:t xml:space="preserve">2. </w:t>
      </w:r>
      <w:r w:rsidR="00A46773">
        <w:rPr>
          <w:rFonts w:cstheme="minorHAnsi"/>
        </w:rPr>
        <w:t>člen</w:t>
      </w:r>
      <w:r>
        <w:rPr>
          <w:rFonts w:cstheme="minorHAnsi"/>
        </w:rPr>
        <w:t>u</w:t>
      </w:r>
    </w:p>
    <w:p w:rsidR="0067509B" w:rsidRDefault="00660F14" w:rsidP="003D6B21">
      <w:pPr>
        <w:jc w:val="both"/>
        <w:rPr>
          <w:rFonts w:cstheme="minorHAnsi"/>
        </w:rPr>
      </w:pPr>
      <w:r>
        <w:rPr>
          <w:rFonts w:cstheme="minorHAnsi"/>
        </w:rPr>
        <w:t>Ta člen določa definicijo</w:t>
      </w:r>
      <w:r w:rsidR="009E2E46">
        <w:rPr>
          <w:rFonts w:cstheme="minorHAnsi"/>
        </w:rPr>
        <w:t xml:space="preserve"> zazidanih in nezazidanih stavbnih zemljišč kot izhaja iz 218. </w:t>
      </w:r>
      <w:r w:rsidR="0067509B">
        <w:rPr>
          <w:rFonts w:cstheme="minorHAnsi"/>
        </w:rPr>
        <w:t>2</w:t>
      </w:r>
      <w:r w:rsidR="009E2E46">
        <w:rPr>
          <w:rFonts w:cstheme="minorHAnsi"/>
        </w:rPr>
        <w:t>člena ZGO</w:t>
      </w:r>
      <w:r w:rsidR="0067509B">
        <w:rPr>
          <w:rFonts w:cstheme="minorHAnsi"/>
        </w:rPr>
        <w:t>-1a</w:t>
      </w:r>
      <w:r>
        <w:rPr>
          <w:rFonts w:cstheme="minorHAnsi"/>
        </w:rPr>
        <w:t xml:space="preserve">. </w:t>
      </w:r>
      <w:r w:rsidR="0067509B">
        <w:rPr>
          <w:rFonts w:ascii="Calibri" w:hAnsi="Calibri" w:cs="Calibri"/>
          <w:color w:val="000000"/>
        </w:rPr>
        <w:t>ZGO-1 v tretjem odstavku 218. člena določa, katera zemljišča se od dneva uveljavitve Zakona štejejo za nezazidana stavbna zemljišča. Temeljni kriterij za to, da se neko zemljišče šteje za nezazidano stavbno zemljišče, je, da je z izvedbenim prostorskim aktom določeno, da je na njem dopustna gradnja stanovanjske ali poslovne stavbe oziroma gradbenega inženirskega objekta, z izjemo stavb in objektov za potrebe javnih služb in javne uprave. Z Zakonom o spremembah in dopolnitvah Zakona o graditvi objektov (Uradni list RS, št. 47/04 – ZGO-1A) so bili zaradi uskladitve opredelitve zazidanega in nezazidanega stavbnega zemljišča z drugo alinejo prvega odstavka 218.b člena natančneje (dodatno) opredeljeni kriteriji, ki jih morajo zemljišča (zemljiške parcele) iz tretjega odstavka 218. člena izpolnjevati, da so lahko določena kot nezazidana stavbna zemljišča, za katera se plačuje nadomestilo. Poleg temeljnega pogoja iz 218. člena ZGO-1 je zakonodajalec z drugo alinejo prvega odstavka 218.b člena predpisal še dva dodatna pogoja. Prvi je komunalna opremljenost, kar pomeni, da gre za zemljiške parcele, za katere so zagotovljeni oskrba s pitno vodo in z energijo, odvajanje odplak in odstranjevanje odpadkov z njih ter dostop na javno cesto. Drugi (kumulativni) pogoj pa je, da gre za zemljišča, ki ležijo znotraj območja, za katerega je občina predpisala plačilo za uporabo nezazidanega stavbnega zemljišča.</w:t>
      </w:r>
    </w:p>
    <w:p w:rsidR="00A21EBF" w:rsidRDefault="00A21EBF" w:rsidP="003D6B21">
      <w:pPr>
        <w:jc w:val="both"/>
        <w:rPr>
          <w:rFonts w:cstheme="minorHAnsi"/>
        </w:rPr>
      </w:pPr>
      <w:r>
        <w:rPr>
          <w:rFonts w:cstheme="minorHAnsi"/>
        </w:rPr>
        <w:t xml:space="preserve">K </w:t>
      </w:r>
      <w:r w:rsidR="0067509B">
        <w:rPr>
          <w:rFonts w:cstheme="minorHAnsi"/>
        </w:rPr>
        <w:t xml:space="preserve">3. </w:t>
      </w:r>
      <w:r w:rsidR="00A46773">
        <w:rPr>
          <w:rFonts w:cstheme="minorHAnsi"/>
        </w:rPr>
        <w:t>člen</w:t>
      </w:r>
      <w:r>
        <w:rPr>
          <w:rFonts w:cstheme="minorHAnsi"/>
        </w:rPr>
        <w:t xml:space="preserve">u </w:t>
      </w:r>
    </w:p>
    <w:p w:rsidR="0067509B" w:rsidRDefault="00A21EBF" w:rsidP="003D6B21">
      <w:pPr>
        <w:jc w:val="both"/>
        <w:rPr>
          <w:rFonts w:cstheme="minorHAnsi"/>
        </w:rPr>
      </w:pPr>
      <w:r>
        <w:rPr>
          <w:rFonts w:cstheme="minorHAnsi"/>
        </w:rPr>
        <w:t xml:space="preserve">Člen opredeljuje </w:t>
      </w:r>
      <w:r w:rsidR="0067509B">
        <w:rPr>
          <w:rFonts w:cstheme="minorHAnsi"/>
        </w:rPr>
        <w:t>d</w:t>
      </w:r>
      <w:r w:rsidR="00660F14">
        <w:rPr>
          <w:rFonts w:cstheme="minorHAnsi"/>
        </w:rPr>
        <w:t>oločitev</w:t>
      </w:r>
      <w:r w:rsidR="0067509B">
        <w:rPr>
          <w:rFonts w:cstheme="minorHAnsi"/>
        </w:rPr>
        <w:t xml:space="preserve"> površine zazidanega stavbnega zemljišča.</w:t>
      </w:r>
      <w:r w:rsidR="00A46773">
        <w:rPr>
          <w:rFonts w:cstheme="minorHAnsi"/>
        </w:rPr>
        <w:t xml:space="preserve"> </w:t>
      </w:r>
    </w:p>
    <w:p w:rsidR="00A21EBF" w:rsidRDefault="00A21EBF" w:rsidP="003D6B21">
      <w:pPr>
        <w:jc w:val="both"/>
        <w:rPr>
          <w:rFonts w:cstheme="minorHAnsi"/>
        </w:rPr>
      </w:pPr>
      <w:r>
        <w:rPr>
          <w:rFonts w:cstheme="minorHAnsi"/>
        </w:rPr>
        <w:t xml:space="preserve">K </w:t>
      </w:r>
      <w:r w:rsidR="0067509B">
        <w:rPr>
          <w:rFonts w:cstheme="minorHAnsi"/>
        </w:rPr>
        <w:t xml:space="preserve">4. </w:t>
      </w:r>
      <w:r w:rsidR="00A46773">
        <w:rPr>
          <w:rFonts w:cstheme="minorHAnsi"/>
        </w:rPr>
        <w:t>člen</w:t>
      </w:r>
      <w:r>
        <w:rPr>
          <w:rFonts w:cstheme="minorHAnsi"/>
        </w:rPr>
        <w:t>u</w:t>
      </w:r>
    </w:p>
    <w:p w:rsidR="0067509B" w:rsidRDefault="00A21EBF" w:rsidP="003D6B21">
      <w:pPr>
        <w:jc w:val="both"/>
        <w:rPr>
          <w:rFonts w:cstheme="minorHAnsi"/>
        </w:rPr>
      </w:pPr>
      <w:r>
        <w:rPr>
          <w:rFonts w:cstheme="minorHAnsi"/>
        </w:rPr>
        <w:t>Člen opredeljuje d</w:t>
      </w:r>
      <w:r w:rsidR="00660F14">
        <w:rPr>
          <w:rFonts w:cstheme="minorHAnsi"/>
        </w:rPr>
        <w:t>oločitev</w:t>
      </w:r>
      <w:r w:rsidR="0067509B">
        <w:rPr>
          <w:rFonts w:cstheme="minorHAnsi"/>
        </w:rPr>
        <w:t xml:space="preserve"> površine nezazidanega stavbnega zemljišča</w:t>
      </w:r>
      <w:r>
        <w:rPr>
          <w:rFonts w:cstheme="minorHAnsi"/>
        </w:rPr>
        <w:t>.</w:t>
      </w:r>
    </w:p>
    <w:p w:rsidR="00A21EBF" w:rsidRDefault="00A21EBF" w:rsidP="003D6B21">
      <w:pPr>
        <w:jc w:val="both"/>
        <w:rPr>
          <w:rFonts w:cstheme="minorHAnsi"/>
        </w:rPr>
      </w:pPr>
      <w:r>
        <w:rPr>
          <w:rFonts w:cstheme="minorHAnsi"/>
        </w:rPr>
        <w:t xml:space="preserve">K </w:t>
      </w:r>
      <w:r w:rsidR="0067509B">
        <w:rPr>
          <w:rFonts w:cstheme="minorHAnsi"/>
        </w:rPr>
        <w:t xml:space="preserve">5. </w:t>
      </w:r>
      <w:r w:rsidR="00A46773">
        <w:rPr>
          <w:rFonts w:cstheme="minorHAnsi"/>
        </w:rPr>
        <w:t>člen</w:t>
      </w:r>
      <w:r>
        <w:rPr>
          <w:rFonts w:cstheme="minorHAnsi"/>
        </w:rPr>
        <w:t>u</w:t>
      </w:r>
      <w:r w:rsidR="0067509B">
        <w:rPr>
          <w:rFonts w:cstheme="minorHAnsi"/>
        </w:rPr>
        <w:t xml:space="preserve"> </w:t>
      </w:r>
    </w:p>
    <w:p w:rsidR="0067509B" w:rsidRDefault="00A21EBF" w:rsidP="003D6B21">
      <w:pPr>
        <w:jc w:val="both"/>
        <w:rPr>
          <w:rFonts w:cstheme="minorHAnsi"/>
        </w:rPr>
      </w:pPr>
      <w:r>
        <w:rPr>
          <w:rFonts w:cstheme="minorHAnsi"/>
        </w:rPr>
        <w:t>Ta člen določa, da so podlaga za odmero nadomestila za uporabo stavbnega zemljišča</w:t>
      </w:r>
      <w:r w:rsidR="0067509B">
        <w:rPr>
          <w:rFonts w:cstheme="minorHAnsi"/>
        </w:rPr>
        <w:t xml:space="preserve"> uradne evidence, občina vzpostavi lastno evidenco NSZ.</w:t>
      </w:r>
    </w:p>
    <w:p w:rsidR="00A21EBF" w:rsidRDefault="00A21EBF" w:rsidP="003D6B21">
      <w:pPr>
        <w:jc w:val="both"/>
        <w:rPr>
          <w:rFonts w:cstheme="minorHAnsi"/>
        </w:rPr>
      </w:pPr>
      <w:r>
        <w:rPr>
          <w:rFonts w:cstheme="minorHAnsi"/>
        </w:rPr>
        <w:t xml:space="preserve">K </w:t>
      </w:r>
      <w:r w:rsidR="0067509B">
        <w:rPr>
          <w:rFonts w:cstheme="minorHAnsi"/>
        </w:rPr>
        <w:t xml:space="preserve">6. </w:t>
      </w:r>
      <w:r w:rsidR="00A46773">
        <w:rPr>
          <w:rFonts w:cstheme="minorHAnsi"/>
        </w:rPr>
        <w:t>člen</w:t>
      </w:r>
      <w:r>
        <w:rPr>
          <w:rFonts w:cstheme="minorHAnsi"/>
        </w:rPr>
        <w:t>u</w:t>
      </w:r>
    </w:p>
    <w:p w:rsidR="00187043" w:rsidRDefault="00A21EBF" w:rsidP="003D6B21">
      <w:pPr>
        <w:jc w:val="both"/>
        <w:rPr>
          <w:rFonts w:cstheme="minorHAnsi"/>
        </w:rPr>
      </w:pPr>
      <w:r>
        <w:rPr>
          <w:rFonts w:cstheme="minorHAnsi"/>
        </w:rPr>
        <w:t>Ta člen določa območja plačevanja nadomestila. Območja se glede na obstoječi odlok ne spreminjajo.</w:t>
      </w:r>
    </w:p>
    <w:p w:rsidR="00F653CC" w:rsidRDefault="00F653CC">
      <w:pPr>
        <w:rPr>
          <w:rFonts w:cstheme="minorHAnsi"/>
        </w:rPr>
      </w:pPr>
      <w:r>
        <w:rPr>
          <w:rFonts w:cstheme="minorHAnsi"/>
        </w:rPr>
        <w:br w:type="page"/>
      </w:r>
    </w:p>
    <w:p w:rsidR="00A21EBF" w:rsidRDefault="00A21EBF" w:rsidP="003D6B21">
      <w:pPr>
        <w:jc w:val="both"/>
        <w:rPr>
          <w:rFonts w:cstheme="minorHAnsi"/>
        </w:rPr>
      </w:pPr>
      <w:r>
        <w:rPr>
          <w:rFonts w:cstheme="minorHAnsi"/>
        </w:rPr>
        <w:lastRenderedPageBreak/>
        <w:t xml:space="preserve">K </w:t>
      </w:r>
      <w:r w:rsidR="00187043">
        <w:rPr>
          <w:rFonts w:cstheme="minorHAnsi"/>
        </w:rPr>
        <w:t xml:space="preserve">7. </w:t>
      </w:r>
      <w:r w:rsidR="00A46773">
        <w:rPr>
          <w:rFonts w:cstheme="minorHAnsi"/>
        </w:rPr>
        <w:t>člen</w:t>
      </w:r>
      <w:r>
        <w:rPr>
          <w:rFonts w:cstheme="minorHAnsi"/>
        </w:rPr>
        <w:t>u</w:t>
      </w:r>
      <w:r w:rsidR="00187043">
        <w:rPr>
          <w:rFonts w:cstheme="minorHAnsi"/>
        </w:rPr>
        <w:t xml:space="preserve"> </w:t>
      </w:r>
    </w:p>
    <w:p w:rsidR="00187043" w:rsidRDefault="00A21EBF" w:rsidP="003D6B21">
      <w:pPr>
        <w:jc w:val="both"/>
        <w:rPr>
          <w:rFonts w:cstheme="minorHAnsi"/>
        </w:rPr>
      </w:pPr>
      <w:r>
        <w:rPr>
          <w:rFonts w:cstheme="minorHAnsi"/>
        </w:rPr>
        <w:t xml:space="preserve">Določi se </w:t>
      </w:r>
      <w:r w:rsidR="00BB65A5">
        <w:rPr>
          <w:rFonts w:cstheme="minorHAnsi"/>
        </w:rPr>
        <w:t>točkovanje opremljenosti stavbnega zemljišča z objekti in omrežji gospodarski javne infrastrukture ali z omrežji infrastrukture gospodarskih javnih služb se ovrednoti z naslednjimi točkami:</w:t>
      </w:r>
    </w:p>
    <w:tbl>
      <w:tblPr>
        <w:tblStyle w:val="Tabelamrea"/>
        <w:tblW w:w="0" w:type="auto"/>
        <w:tblInd w:w="384" w:type="dxa"/>
        <w:tblLook w:val="04A0" w:firstRow="1" w:lastRow="0" w:firstColumn="1" w:lastColumn="0" w:noHBand="0" w:noVBand="1"/>
      </w:tblPr>
      <w:tblGrid>
        <w:gridCol w:w="3013"/>
        <w:gridCol w:w="1359"/>
        <w:gridCol w:w="1359"/>
      </w:tblGrid>
      <w:tr w:rsidR="00BB65A5" w:rsidTr="0014324E">
        <w:trPr>
          <w:trHeight w:val="266"/>
        </w:trPr>
        <w:tc>
          <w:tcPr>
            <w:tcW w:w="3013" w:type="dxa"/>
            <w:tcBorders>
              <w:top w:val="single" w:sz="4" w:space="0" w:color="auto"/>
              <w:left w:val="single" w:sz="4" w:space="0" w:color="auto"/>
              <w:bottom w:val="single" w:sz="4" w:space="0" w:color="auto"/>
              <w:right w:val="single" w:sz="4" w:space="0" w:color="auto"/>
            </w:tcBorders>
          </w:tcPr>
          <w:p w:rsidR="00BB65A5" w:rsidRDefault="00BB65A5" w:rsidP="0014324E">
            <w:pPr>
              <w:jc w:val="both"/>
              <w:rPr>
                <w:rFonts w:ascii="Calibri" w:hAnsi="Calibri" w:cs="Calibri"/>
                <w:color w:val="000000"/>
              </w:rPr>
            </w:pPr>
          </w:p>
        </w:tc>
        <w:tc>
          <w:tcPr>
            <w:tcW w:w="2718" w:type="dxa"/>
            <w:gridSpan w:val="2"/>
            <w:tcBorders>
              <w:top w:val="single" w:sz="4" w:space="0" w:color="auto"/>
              <w:left w:val="single" w:sz="4" w:space="0" w:color="auto"/>
              <w:bottom w:val="single" w:sz="4" w:space="0" w:color="auto"/>
              <w:right w:val="single" w:sz="4" w:space="0" w:color="auto"/>
            </w:tcBorders>
          </w:tcPr>
          <w:p w:rsidR="00BB65A5" w:rsidRDefault="00BB65A5" w:rsidP="00BB65A5">
            <w:pPr>
              <w:jc w:val="center"/>
              <w:rPr>
                <w:rFonts w:ascii="Calibri" w:hAnsi="Calibri" w:cs="Calibri"/>
                <w:color w:val="000000"/>
              </w:rPr>
            </w:pPr>
            <w:r>
              <w:rPr>
                <w:rFonts w:ascii="Calibri" w:hAnsi="Calibri" w:cs="Calibri"/>
                <w:color w:val="000000"/>
              </w:rPr>
              <w:t>Število točk</w:t>
            </w:r>
          </w:p>
        </w:tc>
      </w:tr>
      <w:tr w:rsidR="00BB65A5" w:rsidTr="0014324E">
        <w:trPr>
          <w:trHeight w:val="266"/>
        </w:trPr>
        <w:tc>
          <w:tcPr>
            <w:tcW w:w="3013"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both"/>
              <w:rPr>
                <w:rFonts w:ascii="Calibri" w:hAnsi="Calibri" w:cs="Calibri"/>
                <w:color w:val="000000"/>
              </w:rPr>
            </w:pPr>
            <w:r>
              <w:rPr>
                <w:rFonts w:ascii="Calibri" w:hAnsi="Calibri" w:cs="Calibri"/>
                <w:color w:val="000000"/>
              </w:rPr>
              <w:t>Opremljenost</w:t>
            </w:r>
          </w:p>
        </w:tc>
        <w:tc>
          <w:tcPr>
            <w:tcW w:w="1359" w:type="dxa"/>
            <w:tcBorders>
              <w:top w:val="single" w:sz="4" w:space="0" w:color="auto"/>
              <w:left w:val="single" w:sz="4" w:space="0" w:color="auto"/>
              <w:bottom w:val="single" w:sz="4" w:space="0" w:color="auto"/>
              <w:right w:val="single" w:sz="4" w:space="0" w:color="auto"/>
            </w:tcBorders>
          </w:tcPr>
          <w:p w:rsidR="00BB65A5" w:rsidRDefault="00BB65A5" w:rsidP="0014324E">
            <w:pPr>
              <w:rPr>
                <w:rFonts w:ascii="Calibri" w:hAnsi="Calibri" w:cs="Calibri"/>
                <w:color w:val="000000"/>
              </w:rPr>
            </w:pPr>
            <w:r>
              <w:rPr>
                <w:rFonts w:ascii="Calibri" w:hAnsi="Calibri" w:cs="Calibri"/>
                <w:color w:val="000000"/>
              </w:rPr>
              <w:t>O</w:t>
            </w:r>
            <w:r w:rsidR="00F653CC">
              <w:rPr>
                <w:rFonts w:ascii="Calibri" w:hAnsi="Calibri" w:cs="Calibri"/>
                <w:color w:val="000000"/>
              </w:rPr>
              <w:t xml:space="preserve">bstoječ </w:t>
            </w:r>
            <w:r>
              <w:rPr>
                <w:rFonts w:ascii="Calibri" w:hAnsi="Calibri" w:cs="Calibri"/>
                <w:color w:val="000000"/>
              </w:rPr>
              <w:t>odlok</w:t>
            </w:r>
          </w:p>
        </w:tc>
        <w:tc>
          <w:tcPr>
            <w:tcW w:w="1359" w:type="dxa"/>
            <w:tcBorders>
              <w:top w:val="single" w:sz="4" w:space="0" w:color="auto"/>
              <w:left w:val="single" w:sz="4" w:space="0" w:color="auto"/>
              <w:bottom w:val="single" w:sz="4" w:space="0" w:color="auto"/>
              <w:right w:val="single" w:sz="4" w:space="0" w:color="auto"/>
            </w:tcBorders>
            <w:hideMark/>
          </w:tcPr>
          <w:p w:rsidR="00BB65A5" w:rsidRDefault="00BB65A5" w:rsidP="0014324E">
            <w:pPr>
              <w:rPr>
                <w:rFonts w:ascii="Calibri" w:hAnsi="Calibri" w:cs="Calibri"/>
                <w:color w:val="000000"/>
              </w:rPr>
            </w:pPr>
            <w:r>
              <w:rPr>
                <w:rFonts w:ascii="Calibri" w:hAnsi="Calibri" w:cs="Calibri"/>
                <w:color w:val="000000"/>
              </w:rPr>
              <w:t>Nov odlok</w:t>
            </w:r>
          </w:p>
        </w:tc>
      </w:tr>
      <w:tr w:rsidR="00BB65A5" w:rsidTr="0014324E">
        <w:trPr>
          <w:trHeight w:val="266"/>
        </w:trPr>
        <w:tc>
          <w:tcPr>
            <w:tcW w:w="3013"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both"/>
              <w:rPr>
                <w:rFonts w:ascii="Calibri" w:hAnsi="Calibri" w:cs="Calibri"/>
                <w:color w:val="000000"/>
              </w:rPr>
            </w:pPr>
            <w:r>
              <w:rPr>
                <w:rFonts w:ascii="Calibri" w:hAnsi="Calibri" w:cs="Calibri"/>
                <w:color w:val="000000"/>
              </w:rPr>
              <w:t>Dostop do javne ceste</w:t>
            </w:r>
          </w:p>
        </w:tc>
        <w:tc>
          <w:tcPr>
            <w:tcW w:w="1359" w:type="dxa"/>
            <w:tcBorders>
              <w:top w:val="single" w:sz="4" w:space="0" w:color="auto"/>
              <w:left w:val="single" w:sz="4" w:space="0" w:color="auto"/>
              <w:bottom w:val="single" w:sz="4" w:space="0" w:color="auto"/>
              <w:right w:val="single" w:sz="4" w:space="0" w:color="auto"/>
            </w:tcBorders>
          </w:tcPr>
          <w:p w:rsidR="00BB65A5" w:rsidRDefault="00BB65A5" w:rsidP="0014324E">
            <w:pPr>
              <w:jc w:val="center"/>
              <w:rPr>
                <w:rFonts w:ascii="Calibri" w:hAnsi="Calibri" w:cs="Calibri"/>
                <w:color w:val="000000"/>
              </w:rPr>
            </w:pPr>
            <w:r>
              <w:rPr>
                <w:rFonts w:ascii="Calibri" w:hAnsi="Calibri" w:cs="Calibri"/>
                <w:color w:val="000000"/>
              </w:rPr>
              <w:t>2</w:t>
            </w:r>
          </w:p>
        </w:tc>
        <w:tc>
          <w:tcPr>
            <w:tcW w:w="1359"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center"/>
              <w:rPr>
                <w:rFonts w:ascii="Calibri" w:hAnsi="Calibri" w:cs="Calibri"/>
                <w:color w:val="000000"/>
              </w:rPr>
            </w:pPr>
            <w:r>
              <w:rPr>
                <w:rFonts w:ascii="Calibri" w:hAnsi="Calibri" w:cs="Calibri"/>
                <w:color w:val="000000"/>
              </w:rPr>
              <w:t>100</w:t>
            </w:r>
          </w:p>
        </w:tc>
      </w:tr>
      <w:tr w:rsidR="00BB65A5" w:rsidTr="0014324E">
        <w:trPr>
          <w:trHeight w:val="266"/>
        </w:trPr>
        <w:tc>
          <w:tcPr>
            <w:tcW w:w="3013"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both"/>
              <w:rPr>
                <w:rFonts w:ascii="Calibri" w:hAnsi="Calibri" w:cs="Calibri"/>
                <w:color w:val="000000"/>
              </w:rPr>
            </w:pPr>
            <w:r>
              <w:rPr>
                <w:rFonts w:ascii="Calibri" w:hAnsi="Calibri" w:cs="Calibri"/>
                <w:color w:val="000000"/>
              </w:rPr>
              <w:t>Javno vodovodno omrežje</w:t>
            </w:r>
          </w:p>
        </w:tc>
        <w:tc>
          <w:tcPr>
            <w:tcW w:w="1359" w:type="dxa"/>
            <w:tcBorders>
              <w:top w:val="single" w:sz="4" w:space="0" w:color="auto"/>
              <w:left w:val="single" w:sz="4" w:space="0" w:color="auto"/>
              <w:bottom w:val="single" w:sz="4" w:space="0" w:color="auto"/>
              <w:right w:val="single" w:sz="4" w:space="0" w:color="auto"/>
            </w:tcBorders>
          </w:tcPr>
          <w:p w:rsidR="00BB65A5" w:rsidRDefault="00BB65A5" w:rsidP="0014324E">
            <w:pPr>
              <w:jc w:val="center"/>
              <w:rPr>
                <w:rFonts w:ascii="Calibri" w:hAnsi="Calibri" w:cs="Calibri"/>
                <w:color w:val="000000"/>
              </w:rPr>
            </w:pPr>
            <w:r>
              <w:rPr>
                <w:rFonts w:ascii="Calibri" w:hAnsi="Calibri" w:cs="Calibri"/>
                <w:color w:val="000000"/>
              </w:rPr>
              <w:t>2</w:t>
            </w:r>
          </w:p>
        </w:tc>
        <w:tc>
          <w:tcPr>
            <w:tcW w:w="1359"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center"/>
              <w:rPr>
                <w:rFonts w:ascii="Calibri" w:hAnsi="Calibri" w:cs="Calibri"/>
                <w:color w:val="000000"/>
              </w:rPr>
            </w:pPr>
            <w:r>
              <w:rPr>
                <w:rFonts w:ascii="Calibri" w:hAnsi="Calibri" w:cs="Calibri"/>
                <w:color w:val="000000"/>
              </w:rPr>
              <w:t>100</w:t>
            </w:r>
          </w:p>
        </w:tc>
      </w:tr>
      <w:tr w:rsidR="00BB65A5" w:rsidTr="0014324E">
        <w:trPr>
          <w:trHeight w:val="266"/>
        </w:trPr>
        <w:tc>
          <w:tcPr>
            <w:tcW w:w="3013"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both"/>
              <w:rPr>
                <w:rFonts w:ascii="Calibri" w:hAnsi="Calibri" w:cs="Calibri"/>
                <w:color w:val="000000"/>
              </w:rPr>
            </w:pPr>
            <w:r>
              <w:rPr>
                <w:rFonts w:ascii="Calibri" w:hAnsi="Calibri" w:cs="Calibri"/>
                <w:color w:val="000000"/>
              </w:rPr>
              <w:t>Javno kanalizacijsko omrežje</w:t>
            </w:r>
          </w:p>
        </w:tc>
        <w:tc>
          <w:tcPr>
            <w:tcW w:w="1359" w:type="dxa"/>
            <w:tcBorders>
              <w:top w:val="single" w:sz="4" w:space="0" w:color="auto"/>
              <w:left w:val="single" w:sz="4" w:space="0" w:color="auto"/>
              <w:bottom w:val="single" w:sz="4" w:space="0" w:color="auto"/>
              <w:right w:val="single" w:sz="4" w:space="0" w:color="auto"/>
            </w:tcBorders>
          </w:tcPr>
          <w:p w:rsidR="00BB65A5" w:rsidRDefault="00BB65A5" w:rsidP="0014324E">
            <w:pPr>
              <w:jc w:val="center"/>
              <w:rPr>
                <w:rFonts w:ascii="Calibri" w:hAnsi="Calibri" w:cs="Calibri"/>
                <w:color w:val="000000"/>
              </w:rPr>
            </w:pPr>
            <w:r>
              <w:rPr>
                <w:rFonts w:ascii="Calibri" w:hAnsi="Calibri" w:cs="Calibri"/>
                <w:color w:val="000000"/>
              </w:rPr>
              <w:t>2</w:t>
            </w:r>
          </w:p>
        </w:tc>
        <w:tc>
          <w:tcPr>
            <w:tcW w:w="1359"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center"/>
              <w:rPr>
                <w:rFonts w:ascii="Calibri" w:hAnsi="Calibri" w:cs="Calibri"/>
                <w:color w:val="000000"/>
              </w:rPr>
            </w:pPr>
            <w:r>
              <w:rPr>
                <w:rFonts w:ascii="Calibri" w:hAnsi="Calibri" w:cs="Calibri"/>
                <w:color w:val="000000"/>
              </w:rPr>
              <w:t>100</w:t>
            </w:r>
          </w:p>
        </w:tc>
      </w:tr>
      <w:tr w:rsidR="00BB65A5" w:rsidTr="0014324E">
        <w:trPr>
          <w:trHeight w:val="266"/>
        </w:trPr>
        <w:tc>
          <w:tcPr>
            <w:tcW w:w="3013"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both"/>
              <w:rPr>
                <w:rFonts w:ascii="Calibri" w:hAnsi="Calibri" w:cs="Calibri"/>
                <w:color w:val="000000"/>
              </w:rPr>
            </w:pPr>
            <w:r>
              <w:rPr>
                <w:rFonts w:ascii="Calibri" w:hAnsi="Calibri" w:cs="Calibri"/>
                <w:color w:val="000000"/>
              </w:rPr>
              <w:t>Električno omrežje</w:t>
            </w:r>
          </w:p>
        </w:tc>
        <w:tc>
          <w:tcPr>
            <w:tcW w:w="1359" w:type="dxa"/>
            <w:tcBorders>
              <w:top w:val="single" w:sz="4" w:space="0" w:color="auto"/>
              <w:left w:val="single" w:sz="4" w:space="0" w:color="auto"/>
              <w:bottom w:val="single" w:sz="4" w:space="0" w:color="auto"/>
              <w:right w:val="single" w:sz="4" w:space="0" w:color="auto"/>
            </w:tcBorders>
          </w:tcPr>
          <w:p w:rsidR="00BB65A5" w:rsidRDefault="00BB65A5" w:rsidP="0014324E">
            <w:pPr>
              <w:jc w:val="center"/>
              <w:rPr>
                <w:rFonts w:ascii="Calibri" w:hAnsi="Calibri" w:cs="Calibri"/>
                <w:color w:val="000000"/>
              </w:rPr>
            </w:pPr>
            <w:r>
              <w:rPr>
                <w:rFonts w:ascii="Calibri" w:hAnsi="Calibri" w:cs="Calibri"/>
                <w:color w:val="000000"/>
              </w:rPr>
              <w:t>1</w:t>
            </w:r>
          </w:p>
        </w:tc>
        <w:tc>
          <w:tcPr>
            <w:tcW w:w="1359"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center"/>
              <w:rPr>
                <w:rFonts w:ascii="Calibri" w:hAnsi="Calibri" w:cs="Calibri"/>
                <w:color w:val="000000"/>
              </w:rPr>
            </w:pPr>
            <w:r>
              <w:rPr>
                <w:rFonts w:ascii="Calibri" w:hAnsi="Calibri" w:cs="Calibri"/>
                <w:color w:val="000000"/>
              </w:rPr>
              <w:t>50</w:t>
            </w:r>
          </w:p>
        </w:tc>
      </w:tr>
      <w:tr w:rsidR="00BB65A5" w:rsidTr="0014324E">
        <w:trPr>
          <w:trHeight w:val="266"/>
        </w:trPr>
        <w:tc>
          <w:tcPr>
            <w:tcW w:w="3013"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both"/>
              <w:rPr>
                <w:rFonts w:ascii="Calibri" w:hAnsi="Calibri" w:cs="Calibri"/>
                <w:color w:val="000000"/>
              </w:rPr>
            </w:pPr>
            <w:r>
              <w:rPr>
                <w:rFonts w:ascii="Calibri" w:hAnsi="Calibri" w:cs="Calibri"/>
                <w:color w:val="000000"/>
              </w:rPr>
              <w:t>Telekomunikacijsko omrežje</w:t>
            </w:r>
          </w:p>
        </w:tc>
        <w:tc>
          <w:tcPr>
            <w:tcW w:w="1359" w:type="dxa"/>
            <w:tcBorders>
              <w:top w:val="single" w:sz="4" w:space="0" w:color="auto"/>
              <w:left w:val="single" w:sz="4" w:space="0" w:color="auto"/>
              <w:bottom w:val="single" w:sz="4" w:space="0" w:color="auto"/>
              <w:right w:val="single" w:sz="4" w:space="0" w:color="auto"/>
            </w:tcBorders>
          </w:tcPr>
          <w:p w:rsidR="00BB65A5" w:rsidRDefault="00BB65A5" w:rsidP="0014324E">
            <w:pPr>
              <w:jc w:val="center"/>
              <w:rPr>
                <w:rFonts w:ascii="Calibri" w:hAnsi="Calibri" w:cs="Calibri"/>
                <w:color w:val="000000"/>
              </w:rPr>
            </w:pPr>
            <w:r>
              <w:rPr>
                <w:rFonts w:ascii="Calibri" w:hAnsi="Calibri" w:cs="Calibri"/>
                <w:color w:val="000000"/>
              </w:rPr>
              <w:t>1</w:t>
            </w:r>
          </w:p>
        </w:tc>
        <w:tc>
          <w:tcPr>
            <w:tcW w:w="1359"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center"/>
              <w:rPr>
                <w:rFonts w:ascii="Calibri" w:hAnsi="Calibri" w:cs="Calibri"/>
                <w:color w:val="000000"/>
              </w:rPr>
            </w:pPr>
            <w:r>
              <w:rPr>
                <w:rFonts w:ascii="Calibri" w:hAnsi="Calibri" w:cs="Calibri"/>
                <w:color w:val="000000"/>
              </w:rPr>
              <w:t>50</w:t>
            </w:r>
          </w:p>
        </w:tc>
      </w:tr>
      <w:tr w:rsidR="00BB65A5" w:rsidTr="0014324E">
        <w:trPr>
          <w:trHeight w:val="266"/>
        </w:trPr>
        <w:tc>
          <w:tcPr>
            <w:tcW w:w="3013"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both"/>
              <w:rPr>
                <w:rFonts w:ascii="Calibri" w:hAnsi="Calibri" w:cs="Calibri"/>
                <w:color w:val="000000"/>
              </w:rPr>
            </w:pPr>
            <w:r>
              <w:rPr>
                <w:rFonts w:ascii="Calibri" w:hAnsi="Calibri" w:cs="Calibri"/>
                <w:color w:val="000000"/>
              </w:rPr>
              <w:t>Plinovod</w:t>
            </w:r>
          </w:p>
        </w:tc>
        <w:tc>
          <w:tcPr>
            <w:tcW w:w="1359" w:type="dxa"/>
            <w:tcBorders>
              <w:top w:val="single" w:sz="4" w:space="0" w:color="auto"/>
              <w:left w:val="single" w:sz="4" w:space="0" w:color="auto"/>
              <w:bottom w:val="single" w:sz="4" w:space="0" w:color="auto"/>
              <w:right w:val="single" w:sz="4" w:space="0" w:color="auto"/>
            </w:tcBorders>
          </w:tcPr>
          <w:p w:rsidR="00BB65A5" w:rsidRDefault="00BB65A5" w:rsidP="0014324E">
            <w:pPr>
              <w:jc w:val="center"/>
              <w:rPr>
                <w:rFonts w:ascii="Calibri" w:hAnsi="Calibri" w:cs="Calibri"/>
                <w:color w:val="000000"/>
              </w:rPr>
            </w:pPr>
            <w:r>
              <w:rPr>
                <w:rFonts w:ascii="Calibri" w:hAnsi="Calibri" w:cs="Calibri"/>
                <w:color w:val="000000"/>
              </w:rPr>
              <w:t>1</w:t>
            </w:r>
          </w:p>
        </w:tc>
        <w:tc>
          <w:tcPr>
            <w:tcW w:w="1359" w:type="dxa"/>
            <w:tcBorders>
              <w:top w:val="single" w:sz="4" w:space="0" w:color="auto"/>
              <w:left w:val="single" w:sz="4" w:space="0" w:color="auto"/>
              <w:bottom w:val="single" w:sz="4" w:space="0" w:color="auto"/>
              <w:right w:val="single" w:sz="4" w:space="0" w:color="auto"/>
            </w:tcBorders>
            <w:hideMark/>
          </w:tcPr>
          <w:p w:rsidR="00BB65A5" w:rsidRDefault="00BB65A5" w:rsidP="0014324E">
            <w:pPr>
              <w:jc w:val="center"/>
              <w:rPr>
                <w:rFonts w:ascii="Calibri" w:hAnsi="Calibri" w:cs="Calibri"/>
                <w:color w:val="000000"/>
              </w:rPr>
            </w:pPr>
            <w:r>
              <w:rPr>
                <w:rFonts w:ascii="Calibri" w:hAnsi="Calibri" w:cs="Calibri"/>
                <w:color w:val="000000"/>
              </w:rPr>
              <w:t>50</w:t>
            </w:r>
          </w:p>
        </w:tc>
      </w:tr>
    </w:tbl>
    <w:p w:rsidR="00BB65A5" w:rsidRDefault="000B0C99" w:rsidP="003D6B21">
      <w:pPr>
        <w:jc w:val="both"/>
        <w:rPr>
          <w:rFonts w:cstheme="minorHAnsi"/>
        </w:rPr>
      </w:pPr>
      <w:r>
        <w:rPr>
          <w:rFonts w:cstheme="minorHAnsi"/>
        </w:rPr>
        <w:t>Primerjalna tabela: vrednost točk obstoječi in predlog novega odloka.</w:t>
      </w:r>
    </w:p>
    <w:p w:rsidR="000B0C99" w:rsidRDefault="000B0C99" w:rsidP="003D6B21">
      <w:pPr>
        <w:jc w:val="both"/>
        <w:rPr>
          <w:rFonts w:cstheme="minorHAnsi"/>
        </w:rPr>
      </w:pPr>
      <w:r>
        <w:rPr>
          <w:rFonts w:cstheme="minorHAnsi"/>
        </w:rPr>
        <w:t>Opomba: v 9. členu Dogovora o</w:t>
      </w:r>
      <w:r w:rsidR="00C516A5">
        <w:rPr>
          <w:rFonts w:cstheme="minorHAnsi"/>
        </w:rPr>
        <w:t xml:space="preserve"> usklajevanju meril za določanje območij, na katerih se plačuje NUSZ in meril za določanje višine tega nadomestila (Uradni list SRS, št. 19/86, je določeno, da občine zavezancem NUSZ določajo z metodo točkovanja in z določitvijo vrednosti točke. Poleg tega morajo občine pri določanju meril iz naslova komunalne opremljenosti in lege ter namembnosti upoštevati tudi razmerja, ki so določena v 5. členu tega dogovora upoštevati, da je pretežni del odmere NUSZ določen na podlagi komunalne opreme in ne lege, namembnosti, dejavnosti </w:t>
      </w:r>
    </w:p>
    <w:p w:rsidR="00BB65A5" w:rsidRDefault="00A21EBF" w:rsidP="00BB65A5">
      <w:pPr>
        <w:jc w:val="both"/>
        <w:rPr>
          <w:rFonts w:cstheme="minorHAnsi"/>
        </w:rPr>
      </w:pPr>
      <w:r>
        <w:rPr>
          <w:rFonts w:cstheme="minorHAnsi"/>
        </w:rPr>
        <w:t xml:space="preserve">K </w:t>
      </w:r>
      <w:r w:rsidR="00187043">
        <w:rPr>
          <w:rFonts w:cstheme="minorHAnsi"/>
        </w:rPr>
        <w:t xml:space="preserve">8. </w:t>
      </w:r>
      <w:r w:rsidR="00A46773">
        <w:rPr>
          <w:rFonts w:cstheme="minorHAnsi"/>
        </w:rPr>
        <w:t>člen</w:t>
      </w:r>
      <w:r>
        <w:rPr>
          <w:rFonts w:cstheme="minorHAnsi"/>
        </w:rPr>
        <w:t>u</w:t>
      </w:r>
      <w:r w:rsidR="00187043">
        <w:rPr>
          <w:rFonts w:cstheme="minorHAnsi"/>
        </w:rPr>
        <w:t xml:space="preserve"> </w:t>
      </w:r>
    </w:p>
    <w:p w:rsidR="0067509B" w:rsidRDefault="000075FF" w:rsidP="003D6B21">
      <w:pPr>
        <w:jc w:val="both"/>
        <w:rPr>
          <w:rFonts w:cstheme="minorHAnsi"/>
        </w:rPr>
      </w:pPr>
      <w:r>
        <w:rPr>
          <w:rFonts w:cstheme="minorHAnsi"/>
        </w:rPr>
        <w:t xml:space="preserve">Nameni </w:t>
      </w:r>
      <w:r w:rsidR="00BB65A5">
        <w:rPr>
          <w:rFonts w:cstheme="minorHAnsi"/>
        </w:rPr>
        <w:t xml:space="preserve">se glede na lego in namembnost rabe </w:t>
      </w:r>
      <w:r w:rsidR="00B60510">
        <w:rPr>
          <w:rFonts w:cstheme="minorHAnsi"/>
        </w:rPr>
        <w:t xml:space="preserve">zazidanega </w:t>
      </w:r>
      <w:r w:rsidR="00BB65A5">
        <w:rPr>
          <w:rFonts w:cstheme="minorHAnsi"/>
        </w:rPr>
        <w:t>stavbnega zemljišča ovrednotijo s slednjim številom točk:</w:t>
      </w:r>
    </w:p>
    <w:tbl>
      <w:tblPr>
        <w:tblStyle w:val="Tabelamrea"/>
        <w:tblW w:w="8926" w:type="dxa"/>
        <w:tblInd w:w="0" w:type="dxa"/>
        <w:tblLayout w:type="fixed"/>
        <w:tblLook w:val="04A0" w:firstRow="1" w:lastRow="0" w:firstColumn="1" w:lastColumn="0" w:noHBand="0" w:noVBand="1"/>
      </w:tblPr>
      <w:tblGrid>
        <w:gridCol w:w="2405"/>
        <w:gridCol w:w="1134"/>
        <w:gridCol w:w="851"/>
        <w:gridCol w:w="1134"/>
        <w:gridCol w:w="1134"/>
        <w:gridCol w:w="1134"/>
        <w:gridCol w:w="1134"/>
      </w:tblGrid>
      <w:tr w:rsidR="000B0C99" w:rsidTr="000B0C99">
        <w:tc>
          <w:tcPr>
            <w:tcW w:w="2405" w:type="dxa"/>
            <w:vMerge w:val="restart"/>
            <w:tcBorders>
              <w:top w:val="single" w:sz="4" w:space="0" w:color="auto"/>
              <w:left w:val="single" w:sz="4" w:space="0" w:color="auto"/>
              <w:bottom w:val="single" w:sz="4" w:space="0" w:color="auto"/>
              <w:right w:val="single" w:sz="4" w:space="0" w:color="auto"/>
            </w:tcBorders>
            <w:hideMark/>
          </w:tcPr>
          <w:p w:rsidR="000B0C99" w:rsidRDefault="000B0C99" w:rsidP="0014324E">
            <w:pPr>
              <w:rPr>
                <w:rFonts w:ascii="Calibri" w:hAnsi="Calibri" w:cs="Calibri"/>
                <w:b/>
                <w:color w:val="000000"/>
              </w:rPr>
            </w:pPr>
            <w:r>
              <w:rPr>
                <w:rFonts w:ascii="Calibri" w:hAnsi="Calibri" w:cs="Calibri"/>
                <w:b/>
                <w:color w:val="000000"/>
              </w:rPr>
              <w:t>Namen</w:t>
            </w:r>
          </w:p>
        </w:tc>
        <w:tc>
          <w:tcPr>
            <w:tcW w:w="6521" w:type="dxa"/>
            <w:gridSpan w:val="6"/>
            <w:tcBorders>
              <w:top w:val="single" w:sz="4" w:space="0" w:color="auto"/>
              <w:left w:val="single" w:sz="4" w:space="0" w:color="auto"/>
              <w:bottom w:val="single" w:sz="4" w:space="0" w:color="auto"/>
              <w:right w:val="single" w:sz="4" w:space="0" w:color="auto"/>
            </w:tcBorders>
          </w:tcPr>
          <w:p w:rsidR="000B0C99" w:rsidRDefault="000B0C99" w:rsidP="0014324E">
            <w:pPr>
              <w:jc w:val="center"/>
              <w:rPr>
                <w:rFonts w:ascii="Calibri" w:hAnsi="Calibri" w:cs="Calibri"/>
                <w:b/>
                <w:color w:val="000000"/>
              </w:rPr>
            </w:pPr>
            <w:r>
              <w:rPr>
                <w:rFonts w:ascii="Calibri" w:hAnsi="Calibri" w:cs="Calibri"/>
                <w:b/>
                <w:color w:val="000000"/>
              </w:rPr>
              <w:t>Območje</w:t>
            </w:r>
          </w:p>
        </w:tc>
      </w:tr>
      <w:tr w:rsidR="000B0C99" w:rsidTr="000B0C99">
        <w:tc>
          <w:tcPr>
            <w:tcW w:w="2405" w:type="dxa"/>
            <w:vMerge/>
            <w:tcBorders>
              <w:top w:val="single" w:sz="4" w:space="0" w:color="auto"/>
              <w:left w:val="single" w:sz="4" w:space="0" w:color="auto"/>
              <w:bottom w:val="single" w:sz="4" w:space="0" w:color="auto"/>
              <w:right w:val="single" w:sz="4" w:space="0" w:color="auto"/>
            </w:tcBorders>
            <w:vAlign w:val="center"/>
          </w:tcPr>
          <w:p w:rsidR="000B0C99" w:rsidRDefault="000B0C99" w:rsidP="0014324E">
            <w:pPr>
              <w:rPr>
                <w:rFonts w:ascii="Calibri" w:hAnsi="Calibri" w:cs="Calibri"/>
                <w:b/>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0B0C99" w:rsidRDefault="000B0C99" w:rsidP="0014324E">
            <w:pPr>
              <w:jc w:val="center"/>
              <w:rPr>
                <w:rFonts w:ascii="Calibri" w:hAnsi="Calibri" w:cs="Calibri"/>
                <w:b/>
                <w:color w:val="000000"/>
              </w:rPr>
            </w:pPr>
            <w:r>
              <w:rPr>
                <w:rFonts w:ascii="Calibri" w:hAnsi="Calibri" w:cs="Calibri"/>
                <w:b/>
                <w:color w:val="000000"/>
              </w:rPr>
              <w:t>1. območje</w:t>
            </w:r>
          </w:p>
        </w:tc>
        <w:tc>
          <w:tcPr>
            <w:tcW w:w="2268" w:type="dxa"/>
            <w:gridSpan w:val="2"/>
            <w:tcBorders>
              <w:top w:val="single" w:sz="4" w:space="0" w:color="auto"/>
              <w:left w:val="single" w:sz="4" w:space="0" w:color="auto"/>
              <w:bottom w:val="single" w:sz="4" w:space="0" w:color="auto"/>
              <w:right w:val="single" w:sz="4" w:space="0" w:color="auto"/>
            </w:tcBorders>
          </w:tcPr>
          <w:p w:rsidR="000B0C99" w:rsidRDefault="000B0C99" w:rsidP="0014324E">
            <w:pPr>
              <w:jc w:val="center"/>
              <w:rPr>
                <w:rFonts w:ascii="Calibri" w:hAnsi="Calibri" w:cs="Calibri"/>
                <w:b/>
                <w:color w:val="000000"/>
              </w:rPr>
            </w:pPr>
            <w:r>
              <w:rPr>
                <w:rFonts w:ascii="Calibri" w:hAnsi="Calibri" w:cs="Calibri"/>
                <w:b/>
                <w:color w:val="000000"/>
              </w:rPr>
              <w:t>2. območje</w:t>
            </w:r>
          </w:p>
        </w:tc>
        <w:tc>
          <w:tcPr>
            <w:tcW w:w="2268" w:type="dxa"/>
            <w:gridSpan w:val="2"/>
            <w:tcBorders>
              <w:top w:val="single" w:sz="4" w:space="0" w:color="auto"/>
              <w:left w:val="single" w:sz="4" w:space="0" w:color="auto"/>
              <w:bottom w:val="single" w:sz="4" w:space="0" w:color="auto"/>
              <w:right w:val="single" w:sz="4" w:space="0" w:color="auto"/>
            </w:tcBorders>
          </w:tcPr>
          <w:p w:rsidR="000B0C99" w:rsidRDefault="000B0C99" w:rsidP="0014324E">
            <w:pPr>
              <w:jc w:val="center"/>
              <w:rPr>
                <w:rFonts w:ascii="Calibri" w:hAnsi="Calibri" w:cs="Calibri"/>
                <w:b/>
                <w:color w:val="000000"/>
              </w:rPr>
            </w:pPr>
            <w:r>
              <w:rPr>
                <w:rFonts w:ascii="Calibri" w:hAnsi="Calibri" w:cs="Calibri"/>
                <w:b/>
                <w:color w:val="000000"/>
              </w:rPr>
              <w:t>3. območje</w:t>
            </w:r>
          </w:p>
        </w:tc>
      </w:tr>
      <w:tr w:rsidR="000B0C99" w:rsidTr="009C7171">
        <w:tc>
          <w:tcPr>
            <w:tcW w:w="2405" w:type="dxa"/>
            <w:vMerge/>
            <w:tcBorders>
              <w:top w:val="single" w:sz="4" w:space="0" w:color="auto"/>
              <w:left w:val="single" w:sz="4" w:space="0" w:color="auto"/>
              <w:bottom w:val="single" w:sz="4" w:space="0" w:color="auto"/>
              <w:right w:val="single" w:sz="4" w:space="0" w:color="auto"/>
            </w:tcBorders>
            <w:vAlign w:val="center"/>
            <w:hideMark/>
          </w:tcPr>
          <w:p w:rsidR="000B0C99" w:rsidRDefault="000B0C99" w:rsidP="000B0C99">
            <w:pPr>
              <w:rPr>
                <w:rFonts w:ascii="Calibri" w:hAnsi="Calibri" w:cs="Calibri"/>
                <w:b/>
                <w:color w:val="000000"/>
              </w:rPr>
            </w:pP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Obstoječ</w:t>
            </w:r>
          </w:p>
        </w:tc>
        <w:tc>
          <w:tcPr>
            <w:tcW w:w="851" w:type="dxa"/>
            <w:tcBorders>
              <w:top w:val="single" w:sz="4" w:space="0" w:color="auto"/>
              <w:left w:val="single" w:sz="4" w:space="0" w:color="auto"/>
              <w:bottom w:val="single" w:sz="4" w:space="0" w:color="auto"/>
              <w:right w:val="single" w:sz="4" w:space="0" w:color="auto"/>
            </w:tcBorders>
            <w:hideMark/>
          </w:tcPr>
          <w:p w:rsidR="000B0C99" w:rsidRDefault="000B0C99" w:rsidP="000B0C99">
            <w:pPr>
              <w:jc w:val="center"/>
              <w:rPr>
                <w:rFonts w:ascii="Calibri" w:hAnsi="Calibri" w:cs="Calibri"/>
                <w:b/>
                <w:color w:val="000000"/>
              </w:rPr>
            </w:pPr>
            <w:r>
              <w:rPr>
                <w:rFonts w:ascii="Calibri" w:hAnsi="Calibri" w:cs="Calibri"/>
                <w:b/>
                <w:color w:val="000000"/>
              </w:rPr>
              <w:t>Nov</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Obstoječ</w:t>
            </w:r>
          </w:p>
        </w:tc>
        <w:tc>
          <w:tcPr>
            <w:tcW w:w="1134" w:type="dxa"/>
            <w:tcBorders>
              <w:top w:val="single" w:sz="4" w:space="0" w:color="auto"/>
              <w:left w:val="single" w:sz="4" w:space="0" w:color="auto"/>
              <w:bottom w:val="single" w:sz="4" w:space="0" w:color="auto"/>
              <w:right w:val="single" w:sz="4" w:space="0" w:color="auto"/>
            </w:tcBorders>
            <w:hideMark/>
          </w:tcPr>
          <w:p w:rsidR="000B0C99" w:rsidRDefault="000B0C99" w:rsidP="000B0C99">
            <w:pPr>
              <w:jc w:val="center"/>
              <w:rPr>
                <w:rFonts w:ascii="Calibri" w:hAnsi="Calibri" w:cs="Calibri"/>
                <w:b/>
                <w:color w:val="000000"/>
              </w:rPr>
            </w:pPr>
            <w:r>
              <w:rPr>
                <w:rFonts w:ascii="Calibri" w:hAnsi="Calibri" w:cs="Calibri"/>
                <w:b/>
                <w:color w:val="000000"/>
              </w:rPr>
              <w:t>Nov</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Obstoječ</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Nov</w:t>
            </w:r>
          </w:p>
        </w:tc>
      </w:tr>
      <w:tr w:rsidR="000B0C99" w:rsidTr="009C7171">
        <w:tc>
          <w:tcPr>
            <w:tcW w:w="2405" w:type="dxa"/>
            <w:tcBorders>
              <w:top w:val="single" w:sz="4" w:space="0" w:color="auto"/>
              <w:left w:val="single" w:sz="4" w:space="0" w:color="auto"/>
              <w:bottom w:val="single" w:sz="4" w:space="0" w:color="auto"/>
              <w:right w:val="single" w:sz="4" w:space="0" w:color="auto"/>
            </w:tcBorders>
            <w:hideMark/>
          </w:tcPr>
          <w:p w:rsidR="000B0C99" w:rsidRDefault="000B0C99" w:rsidP="000B0C99">
            <w:pPr>
              <w:rPr>
                <w:rFonts w:ascii="Calibri" w:hAnsi="Calibri" w:cs="Calibri"/>
                <w:b/>
                <w:color w:val="000000"/>
              </w:rPr>
            </w:pPr>
            <w:r>
              <w:rPr>
                <w:rFonts w:ascii="Calibri" w:hAnsi="Calibri" w:cs="Calibri"/>
                <w:b/>
                <w:color w:val="000000"/>
              </w:rPr>
              <w:t>A - poslovni namen s področja kmetijstva</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0B0C99" w:rsidRDefault="000B0C99" w:rsidP="000B0C99">
            <w:pPr>
              <w:jc w:val="center"/>
              <w:rPr>
                <w:rFonts w:ascii="Calibri" w:hAnsi="Calibri" w:cs="Calibri"/>
                <w:b/>
                <w:color w:val="000000"/>
              </w:rPr>
            </w:pPr>
            <w:r>
              <w:rPr>
                <w:rFonts w:ascii="Calibri" w:hAnsi="Calibri" w:cs="Calibri"/>
                <w:b/>
                <w:color w:val="000000"/>
              </w:rPr>
              <w:t>5</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8,5</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4</w:t>
            </w:r>
          </w:p>
          <w:p w:rsidR="000B0C99" w:rsidRDefault="000B0C99" w:rsidP="000B0C99">
            <w:pPr>
              <w:jc w:val="center"/>
              <w:rPr>
                <w:rFonts w:ascii="Calibri" w:hAnsi="Calibri" w:cs="Calibri"/>
                <w:b/>
                <w:color w:val="000000"/>
              </w:rPr>
            </w:pP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7,9</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3</w:t>
            </w:r>
          </w:p>
        </w:tc>
      </w:tr>
      <w:tr w:rsidR="000B0C99" w:rsidTr="009C7171">
        <w:tc>
          <w:tcPr>
            <w:tcW w:w="2405" w:type="dxa"/>
            <w:tcBorders>
              <w:top w:val="single" w:sz="4" w:space="0" w:color="auto"/>
              <w:left w:val="single" w:sz="4" w:space="0" w:color="auto"/>
              <w:bottom w:val="single" w:sz="4" w:space="0" w:color="auto"/>
              <w:right w:val="single" w:sz="4" w:space="0" w:color="auto"/>
            </w:tcBorders>
            <w:hideMark/>
          </w:tcPr>
          <w:p w:rsidR="000B0C99" w:rsidRDefault="000B0C99" w:rsidP="000B0C99">
            <w:pPr>
              <w:rPr>
                <w:rFonts w:ascii="Calibri" w:hAnsi="Calibri" w:cs="Calibri"/>
                <w:b/>
                <w:color w:val="000000"/>
              </w:rPr>
            </w:pPr>
            <w:r>
              <w:rPr>
                <w:rFonts w:ascii="Calibri" w:hAnsi="Calibri" w:cs="Calibri"/>
                <w:b/>
                <w:color w:val="000000"/>
              </w:rPr>
              <w:t>B - stanovanjski objekti</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20</w:t>
            </w:r>
          </w:p>
        </w:tc>
        <w:tc>
          <w:tcPr>
            <w:tcW w:w="851" w:type="dxa"/>
            <w:tcBorders>
              <w:top w:val="single" w:sz="4" w:space="0" w:color="auto"/>
              <w:left w:val="single" w:sz="4" w:space="0" w:color="auto"/>
              <w:bottom w:val="single" w:sz="4" w:space="0" w:color="auto"/>
              <w:right w:val="single" w:sz="4" w:space="0" w:color="auto"/>
            </w:tcBorders>
            <w:hideMark/>
          </w:tcPr>
          <w:p w:rsidR="000B0C99" w:rsidRDefault="000B0C99" w:rsidP="000B0C99">
            <w:pPr>
              <w:jc w:val="center"/>
              <w:rPr>
                <w:rFonts w:ascii="Calibri" w:hAnsi="Calibri" w:cs="Calibri"/>
                <w:b/>
                <w:color w:val="000000"/>
              </w:rPr>
            </w:pPr>
            <w:r>
              <w:rPr>
                <w:rFonts w:ascii="Calibri" w:hAnsi="Calibri" w:cs="Calibri"/>
                <w:b/>
                <w:color w:val="000000"/>
              </w:rPr>
              <w:t>20</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17</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17</w:t>
            </w:r>
          </w:p>
          <w:p w:rsidR="000B0C99" w:rsidRDefault="000B0C99" w:rsidP="000B0C99">
            <w:pPr>
              <w:jc w:val="center"/>
              <w:rPr>
                <w:rFonts w:ascii="Calibri" w:hAnsi="Calibri" w:cs="Calibri"/>
                <w:b/>
                <w:color w:val="000000"/>
              </w:rPr>
            </w:pP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15,8</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15,8</w:t>
            </w:r>
          </w:p>
        </w:tc>
      </w:tr>
      <w:tr w:rsidR="000B0C99" w:rsidTr="009C7171">
        <w:tc>
          <w:tcPr>
            <w:tcW w:w="2405" w:type="dxa"/>
            <w:tcBorders>
              <w:top w:val="single" w:sz="4" w:space="0" w:color="auto"/>
              <w:left w:val="single" w:sz="4" w:space="0" w:color="auto"/>
              <w:bottom w:val="single" w:sz="4" w:space="0" w:color="auto"/>
              <w:right w:val="single" w:sz="4" w:space="0" w:color="auto"/>
            </w:tcBorders>
            <w:hideMark/>
          </w:tcPr>
          <w:p w:rsidR="000B0C99" w:rsidRDefault="000B0C99" w:rsidP="000B0C99">
            <w:pPr>
              <w:rPr>
                <w:rFonts w:ascii="Calibri" w:hAnsi="Calibri" w:cs="Calibri"/>
                <w:b/>
                <w:color w:val="000000"/>
              </w:rPr>
            </w:pPr>
            <w:r>
              <w:rPr>
                <w:rFonts w:ascii="Calibri" w:hAnsi="Calibri" w:cs="Calibri"/>
                <w:b/>
                <w:color w:val="000000"/>
              </w:rPr>
              <w:t>C - poslovni objekti za družbene dejavnosti</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40</w:t>
            </w:r>
          </w:p>
        </w:tc>
        <w:tc>
          <w:tcPr>
            <w:tcW w:w="851" w:type="dxa"/>
            <w:tcBorders>
              <w:top w:val="single" w:sz="4" w:space="0" w:color="auto"/>
              <w:left w:val="single" w:sz="4" w:space="0" w:color="auto"/>
              <w:bottom w:val="single" w:sz="4" w:space="0" w:color="auto"/>
              <w:right w:val="single" w:sz="4" w:space="0" w:color="auto"/>
            </w:tcBorders>
            <w:hideMark/>
          </w:tcPr>
          <w:p w:rsidR="000B0C99" w:rsidRDefault="000B0C99" w:rsidP="000B0C99">
            <w:pPr>
              <w:jc w:val="center"/>
              <w:rPr>
                <w:rFonts w:ascii="Calibri" w:hAnsi="Calibri" w:cs="Calibri"/>
                <w:b/>
                <w:color w:val="000000"/>
              </w:rPr>
            </w:pPr>
            <w:r>
              <w:rPr>
                <w:rFonts w:ascii="Calibri" w:hAnsi="Calibri" w:cs="Calibri"/>
                <w:b/>
                <w:color w:val="000000"/>
              </w:rPr>
              <w:t>200</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34</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170</w:t>
            </w:r>
          </w:p>
          <w:p w:rsidR="000B0C99" w:rsidRDefault="000B0C99" w:rsidP="000B0C99">
            <w:pPr>
              <w:jc w:val="center"/>
              <w:rPr>
                <w:rFonts w:ascii="Calibri" w:hAnsi="Calibri" w:cs="Calibri"/>
                <w:b/>
                <w:color w:val="000000"/>
              </w:rPr>
            </w:pP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31,6</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153</w:t>
            </w:r>
          </w:p>
        </w:tc>
      </w:tr>
      <w:tr w:rsidR="000B0C99" w:rsidTr="009C7171">
        <w:tc>
          <w:tcPr>
            <w:tcW w:w="2405" w:type="dxa"/>
            <w:tcBorders>
              <w:top w:val="single" w:sz="4" w:space="0" w:color="auto"/>
              <w:left w:val="single" w:sz="4" w:space="0" w:color="auto"/>
              <w:bottom w:val="single" w:sz="4" w:space="0" w:color="auto"/>
              <w:right w:val="single" w:sz="4" w:space="0" w:color="auto"/>
            </w:tcBorders>
            <w:hideMark/>
          </w:tcPr>
          <w:p w:rsidR="000B0C99" w:rsidRDefault="000B0C99" w:rsidP="000B0C99">
            <w:pPr>
              <w:rPr>
                <w:rFonts w:ascii="Calibri" w:hAnsi="Calibri" w:cs="Calibri"/>
                <w:b/>
                <w:color w:val="000000"/>
              </w:rPr>
            </w:pPr>
            <w:r>
              <w:rPr>
                <w:rFonts w:ascii="Calibri" w:hAnsi="Calibri" w:cs="Calibri"/>
                <w:b/>
                <w:color w:val="000000"/>
              </w:rPr>
              <w:t>D – poslovni namen storitve in trgovina</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50</w:t>
            </w:r>
          </w:p>
        </w:tc>
        <w:tc>
          <w:tcPr>
            <w:tcW w:w="851" w:type="dxa"/>
            <w:tcBorders>
              <w:top w:val="single" w:sz="4" w:space="0" w:color="auto"/>
              <w:left w:val="single" w:sz="4" w:space="0" w:color="auto"/>
              <w:bottom w:val="single" w:sz="4" w:space="0" w:color="auto"/>
              <w:right w:val="single" w:sz="4" w:space="0" w:color="auto"/>
            </w:tcBorders>
            <w:hideMark/>
          </w:tcPr>
          <w:p w:rsidR="000B0C99" w:rsidRDefault="000B0C99" w:rsidP="000B0C99">
            <w:pPr>
              <w:jc w:val="center"/>
              <w:rPr>
                <w:rFonts w:ascii="Calibri" w:hAnsi="Calibri" w:cs="Calibri"/>
                <w:b/>
                <w:color w:val="000000"/>
              </w:rPr>
            </w:pPr>
            <w:r>
              <w:rPr>
                <w:rFonts w:ascii="Calibri" w:hAnsi="Calibri" w:cs="Calibri"/>
                <w:b/>
                <w:color w:val="000000"/>
              </w:rPr>
              <w:t>350</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42,5</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297,5</w:t>
            </w:r>
          </w:p>
          <w:p w:rsidR="000B0C99" w:rsidRDefault="000B0C99" w:rsidP="000B0C99">
            <w:pPr>
              <w:jc w:val="center"/>
              <w:rPr>
                <w:rFonts w:ascii="Calibri" w:hAnsi="Calibri" w:cs="Calibri"/>
                <w:b/>
                <w:color w:val="000000"/>
              </w:rPr>
            </w:pP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39,5</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276,5</w:t>
            </w:r>
          </w:p>
        </w:tc>
      </w:tr>
      <w:tr w:rsidR="000B0C99" w:rsidTr="009C7171">
        <w:trPr>
          <w:trHeight w:val="431"/>
        </w:trPr>
        <w:tc>
          <w:tcPr>
            <w:tcW w:w="2405" w:type="dxa"/>
            <w:tcBorders>
              <w:top w:val="single" w:sz="4" w:space="0" w:color="auto"/>
              <w:left w:val="single" w:sz="4" w:space="0" w:color="auto"/>
              <w:bottom w:val="single" w:sz="4" w:space="0" w:color="auto"/>
              <w:right w:val="single" w:sz="4" w:space="0" w:color="auto"/>
            </w:tcBorders>
          </w:tcPr>
          <w:p w:rsidR="000B0C99" w:rsidRDefault="000B0C99" w:rsidP="000B0C99">
            <w:pPr>
              <w:rPr>
                <w:rFonts w:ascii="Calibri" w:hAnsi="Calibri" w:cs="Calibri"/>
                <w:b/>
                <w:color w:val="000000"/>
              </w:rPr>
            </w:pPr>
            <w:r>
              <w:rPr>
                <w:rFonts w:ascii="Calibri" w:hAnsi="Calibri" w:cs="Calibri"/>
                <w:b/>
                <w:color w:val="000000"/>
              </w:rPr>
              <w:t>E – poslovno-gospodarski namen</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60</w:t>
            </w:r>
          </w:p>
        </w:tc>
        <w:tc>
          <w:tcPr>
            <w:tcW w:w="851"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480</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51</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408</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47,4</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379,2</w:t>
            </w:r>
          </w:p>
          <w:p w:rsidR="000B0C99" w:rsidRDefault="000B0C99" w:rsidP="000B0C99">
            <w:pPr>
              <w:jc w:val="center"/>
              <w:rPr>
                <w:rFonts w:ascii="Calibri" w:hAnsi="Calibri" w:cs="Calibri"/>
                <w:b/>
                <w:color w:val="000000"/>
              </w:rPr>
            </w:pPr>
          </w:p>
        </w:tc>
      </w:tr>
      <w:tr w:rsidR="000B0C99" w:rsidTr="009C7171">
        <w:tc>
          <w:tcPr>
            <w:tcW w:w="2405" w:type="dxa"/>
            <w:tcBorders>
              <w:top w:val="single" w:sz="4" w:space="0" w:color="auto"/>
              <w:left w:val="single" w:sz="4" w:space="0" w:color="auto"/>
              <w:bottom w:val="single" w:sz="4" w:space="0" w:color="auto"/>
              <w:right w:val="single" w:sz="4" w:space="0" w:color="auto"/>
            </w:tcBorders>
          </w:tcPr>
          <w:p w:rsidR="000B0C99" w:rsidRDefault="000B0C99" w:rsidP="000B0C99">
            <w:pPr>
              <w:rPr>
                <w:rFonts w:ascii="Calibri" w:hAnsi="Calibri" w:cs="Calibri"/>
                <w:b/>
                <w:color w:val="000000"/>
              </w:rPr>
            </w:pPr>
            <w:r>
              <w:rPr>
                <w:rFonts w:ascii="Calibri" w:hAnsi="Calibri" w:cs="Calibri"/>
                <w:b/>
                <w:color w:val="000000"/>
              </w:rPr>
              <w:t>F – proizvodni namen-električne energije in plinskih goriv</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80</w:t>
            </w:r>
          </w:p>
        </w:tc>
        <w:tc>
          <w:tcPr>
            <w:tcW w:w="851"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550</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68</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467,5</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63,2</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434,5</w:t>
            </w:r>
          </w:p>
          <w:p w:rsidR="000B0C99" w:rsidRDefault="000B0C99" w:rsidP="000B0C99">
            <w:pPr>
              <w:jc w:val="center"/>
              <w:rPr>
                <w:rFonts w:ascii="Calibri" w:hAnsi="Calibri" w:cs="Calibri"/>
                <w:b/>
                <w:color w:val="000000"/>
              </w:rPr>
            </w:pPr>
          </w:p>
        </w:tc>
      </w:tr>
      <w:tr w:rsidR="000B0C99" w:rsidTr="009C7171">
        <w:tc>
          <w:tcPr>
            <w:tcW w:w="2405" w:type="dxa"/>
            <w:tcBorders>
              <w:top w:val="single" w:sz="4" w:space="0" w:color="auto"/>
              <w:left w:val="single" w:sz="4" w:space="0" w:color="auto"/>
              <w:bottom w:val="single" w:sz="4" w:space="0" w:color="auto"/>
              <w:right w:val="single" w:sz="4" w:space="0" w:color="auto"/>
            </w:tcBorders>
          </w:tcPr>
          <w:p w:rsidR="000B0C99" w:rsidRDefault="000B0C99" w:rsidP="000B0C99">
            <w:pPr>
              <w:rPr>
                <w:rFonts w:ascii="Calibri" w:hAnsi="Calibri" w:cs="Calibri"/>
                <w:b/>
                <w:color w:val="000000"/>
              </w:rPr>
            </w:pPr>
            <w:r>
              <w:rPr>
                <w:rFonts w:ascii="Calibri" w:hAnsi="Calibri" w:cs="Calibri"/>
                <w:b/>
                <w:color w:val="000000"/>
              </w:rPr>
              <w:t>G – poslovno- finančni namen</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100</w:t>
            </w:r>
          </w:p>
        </w:tc>
        <w:tc>
          <w:tcPr>
            <w:tcW w:w="851"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600</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85</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510</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79</w:t>
            </w:r>
          </w:p>
        </w:tc>
        <w:tc>
          <w:tcPr>
            <w:tcW w:w="1134" w:type="dxa"/>
            <w:tcBorders>
              <w:top w:val="single" w:sz="4" w:space="0" w:color="auto"/>
              <w:left w:val="single" w:sz="4" w:space="0" w:color="auto"/>
              <w:bottom w:val="single" w:sz="4" w:space="0" w:color="auto"/>
              <w:right w:val="single" w:sz="4" w:space="0" w:color="auto"/>
            </w:tcBorders>
          </w:tcPr>
          <w:p w:rsidR="000B0C99" w:rsidRDefault="000B0C99" w:rsidP="000B0C99">
            <w:pPr>
              <w:jc w:val="center"/>
              <w:rPr>
                <w:rFonts w:ascii="Calibri" w:hAnsi="Calibri" w:cs="Calibri"/>
                <w:b/>
                <w:color w:val="000000"/>
              </w:rPr>
            </w:pPr>
            <w:r>
              <w:rPr>
                <w:rFonts w:ascii="Calibri" w:hAnsi="Calibri" w:cs="Calibri"/>
                <w:b/>
                <w:color w:val="000000"/>
              </w:rPr>
              <w:t>474</w:t>
            </w:r>
          </w:p>
        </w:tc>
      </w:tr>
    </w:tbl>
    <w:p w:rsidR="00BB65A5" w:rsidRDefault="000B0C99" w:rsidP="003D6B21">
      <w:pPr>
        <w:jc w:val="both"/>
        <w:rPr>
          <w:rFonts w:cstheme="minorHAnsi"/>
        </w:rPr>
      </w:pPr>
      <w:r>
        <w:rPr>
          <w:rFonts w:cstheme="minorHAnsi"/>
        </w:rPr>
        <w:t>Primerjalna tabela: število točk za namen v obstoječem in novem odloku</w:t>
      </w:r>
    </w:p>
    <w:p w:rsidR="00A21EBF" w:rsidRDefault="00B60510" w:rsidP="003D6B21">
      <w:pPr>
        <w:jc w:val="both"/>
        <w:rPr>
          <w:rFonts w:cstheme="minorHAnsi"/>
        </w:rPr>
      </w:pPr>
      <w:r>
        <w:rPr>
          <w:rFonts w:cstheme="minorHAnsi"/>
        </w:rPr>
        <w:t>Novo točkovanje zadosti tej zahtevi, saj se pretežno število točk za stavbno zemljišče pripiše zemljišču iz naslova komunalne opremljenosti.</w:t>
      </w:r>
    </w:p>
    <w:p w:rsidR="00F647DE" w:rsidRDefault="00F647DE">
      <w:pPr>
        <w:rPr>
          <w:rFonts w:cstheme="minorHAnsi"/>
        </w:rPr>
      </w:pPr>
      <w:r>
        <w:rPr>
          <w:rFonts w:cstheme="minorHAnsi"/>
        </w:rPr>
        <w:br w:type="page"/>
      </w:r>
    </w:p>
    <w:p w:rsidR="00B60510" w:rsidRDefault="00A21EBF" w:rsidP="003D6B21">
      <w:pPr>
        <w:jc w:val="both"/>
        <w:rPr>
          <w:rFonts w:cstheme="minorHAnsi"/>
        </w:rPr>
      </w:pPr>
      <w:r>
        <w:rPr>
          <w:rFonts w:cstheme="minorHAnsi"/>
        </w:rPr>
        <w:lastRenderedPageBreak/>
        <w:t xml:space="preserve">K </w:t>
      </w:r>
      <w:r w:rsidR="00B60510">
        <w:rPr>
          <w:rFonts w:cstheme="minorHAnsi"/>
        </w:rPr>
        <w:t>9. člen</w:t>
      </w:r>
      <w:r>
        <w:rPr>
          <w:rFonts w:cstheme="minorHAnsi"/>
        </w:rPr>
        <w:t>u</w:t>
      </w:r>
    </w:p>
    <w:p w:rsidR="00B60510" w:rsidRDefault="00B60510" w:rsidP="003D6B21">
      <w:pPr>
        <w:jc w:val="both"/>
        <w:rPr>
          <w:rFonts w:cstheme="minorHAnsi"/>
        </w:rPr>
      </w:pPr>
      <w:r>
        <w:rPr>
          <w:rFonts w:cstheme="minorHAnsi"/>
        </w:rPr>
        <w:t>Nezazidana stavbna zemljišča se glede na lego in namen uporabe točkujejo na naslednji način:</w:t>
      </w:r>
    </w:p>
    <w:tbl>
      <w:tblPr>
        <w:tblStyle w:val="TableGrid1"/>
        <w:tblW w:w="0" w:type="auto"/>
        <w:tblInd w:w="0" w:type="dxa"/>
        <w:tblLook w:val="04A0" w:firstRow="1" w:lastRow="0" w:firstColumn="1" w:lastColumn="0" w:noHBand="0" w:noVBand="1"/>
      </w:tblPr>
      <w:tblGrid>
        <w:gridCol w:w="2132"/>
        <w:gridCol w:w="1839"/>
        <w:gridCol w:w="1853"/>
        <w:gridCol w:w="1666"/>
        <w:gridCol w:w="1572"/>
      </w:tblGrid>
      <w:tr w:rsidR="009C7171" w:rsidRPr="009C7171" w:rsidTr="0014324E">
        <w:tc>
          <w:tcPr>
            <w:tcW w:w="2132" w:type="dxa"/>
            <w:vMerge w:val="restart"/>
            <w:tcBorders>
              <w:top w:val="single" w:sz="4" w:space="0" w:color="auto"/>
              <w:left w:val="single" w:sz="4" w:space="0" w:color="auto"/>
              <w:bottom w:val="single" w:sz="4" w:space="0" w:color="auto"/>
              <w:right w:val="single" w:sz="4" w:space="0" w:color="auto"/>
            </w:tcBorders>
            <w:hideMark/>
          </w:tcPr>
          <w:p w:rsidR="009C7171" w:rsidRPr="009C7171" w:rsidRDefault="009C7171" w:rsidP="009C7171">
            <w:pPr>
              <w:rPr>
                <w:rFonts w:ascii="Calibri" w:hAnsi="Calibri" w:cs="Calibri"/>
                <w:b/>
                <w:color w:val="000000"/>
              </w:rPr>
            </w:pPr>
            <w:r w:rsidRPr="009C7171">
              <w:rPr>
                <w:rFonts w:ascii="Calibri" w:hAnsi="Calibri" w:cs="Calibri"/>
                <w:b/>
                <w:color w:val="000000"/>
              </w:rPr>
              <w:t>Stavbna zemljišča</w:t>
            </w:r>
          </w:p>
        </w:tc>
        <w:tc>
          <w:tcPr>
            <w:tcW w:w="6930" w:type="dxa"/>
            <w:gridSpan w:val="4"/>
            <w:tcBorders>
              <w:top w:val="single" w:sz="4" w:space="0" w:color="auto"/>
              <w:left w:val="single" w:sz="4" w:space="0" w:color="auto"/>
              <w:bottom w:val="single" w:sz="4" w:space="0" w:color="auto"/>
              <w:right w:val="single" w:sz="4" w:space="0" w:color="auto"/>
            </w:tcBorders>
            <w:hideMark/>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Namen uporabe</w:t>
            </w:r>
          </w:p>
        </w:tc>
      </w:tr>
      <w:tr w:rsidR="009C7171" w:rsidRPr="009C7171" w:rsidTr="0014324E">
        <w:tc>
          <w:tcPr>
            <w:tcW w:w="2132" w:type="dxa"/>
            <w:vMerge/>
            <w:tcBorders>
              <w:top w:val="single" w:sz="4" w:space="0" w:color="auto"/>
              <w:left w:val="single" w:sz="4" w:space="0" w:color="auto"/>
              <w:bottom w:val="single" w:sz="4" w:space="0" w:color="auto"/>
              <w:right w:val="single" w:sz="4" w:space="0" w:color="auto"/>
            </w:tcBorders>
            <w:vAlign w:val="center"/>
            <w:hideMark/>
          </w:tcPr>
          <w:p w:rsidR="009C7171" w:rsidRPr="009C7171" w:rsidRDefault="009C7171" w:rsidP="009C7171">
            <w:pPr>
              <w:rPr>
                <w:rFonts w:ascii="Calibri" w:hAnsi="Calibri" w:cs="Calibri"/>
                <w:b/>
                <w:color w:val="000000"/>
              </w:rPr>
            </w:pPr>
          </w:p>
        </w:tc>
        <w:tc>
          <w:tcPr>
            <w:tcW w:w="1839" w:type="dxa"/>
            <w:tcBorders>
              <w:top w:val="single" w:sz="4" w:space="0" w:color="auto"/>
              <w:left w:val="single" w:sz="4" w:space="0" w:color="auto"/>
              <w:bottom w:val="single" w:sz="4" w:space="0" w:color="auto"/>
              <w:right w:val="single" w:sz="4" w:space="0" w:color="auto"/>
            </w:tcBorders>
            <w:hideMark/>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A in B</w:t>
            </w:r>
          </w:p>
        </w:tc>
        <w:tc>
          <w:tcPr>
            <w:tcW w:w="1853" w:type="dxa"/>
            <w:tcBorders>
              <w:top w:val="single" w:sz="4" w:space="0" w:color="auto"/>
              <w:left w:val="single" w:sz="4" w:space="0" w:color="auto"/>
              <w:bottom w:val="single" w:sz="4" w:space="0" w:color="auto"/>
              <w:right w:val="single" w:sz="4" w:space="0" w:color="auto"/>
            </w:tcBorders>
            <w:hideMark/>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C in D</w:t>
            </w:r>
          </w:p>
        </w:tc>
        <w:tc>
          <w:tcPr>
            <w:tcW w:w="1666"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E</w:t>
            </w:r>
          </w:p>
        </w:tc>
        <w:tc>
          <w:tcPr>
            <w:tcW w:w="1572"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F</w:t>
            </w:r>
          </w:p>
        </w:tc>
      </w:tr>
      <w:tr w:rsidR="009C7171" w:rsidRPr="009C7171" w:rsidTr="0014324E">
        <w:trPr>
          <w:trHeight w:val="364"/>
        </w:trPr>
        <w:tc>
          <w:tcPr>
            <w:tcW w:w="2132" w:type="dxa"/>
            <w:tcBorders>
              <w:top w:val="single" w:sz="4" w:space="0" w:color="auto"/>
              <w:left w:val="single" w:sz="4" w:space="0" w:color="auto"/>
              <w:bottom w:val="single" w:sz="4" w:space="0" w:color="auto"/>
              <w:right w:val="single" w:sz="4" w:space="0" w:color="auto"/>
            </w:tcBorders>
            <w:hideMark/>
          </w:tcPr>
          <w:p w:rsidR="009C7171" w:rsidRPr="009C7171" w:rsidRDefault="009C7171" w:rsidP="009C7171">
            <w:pPr>
              <w:rPr>
                <w:rFonts w:ascii="Calibri" w:hAnsi="Calibri" w:cs="Calibri"/>
                <w:b/>
                <w:color w:val="000000"/>
              </w:rPr>
            </w:pPr>
            <w:r w:rsidRPr="009C7171">
              <w:rPr>
                <w:rFonts w:ascii="Calibri" w:hAnsi="Calibri" w:cs="Calibri"/>
                <w:b/>
                <w:color w:val="000000"/>
              </w:rPr>
              <w:t>1. območje</w:t>
            </w:r>
          </w:p>
        </w:tc>
        <w:tc>
          <w:tcPr>
            <w:tcW w:w="1839" w:type="dxa"/>
            <w:tcBorders>
              <w:top w:val="single" w:sz="4" w:space="0" w:color="auto"/>
              <w:left w:val="single" w:sz="4" w:space="0" w:color="auto"/>
              <w:bottom w:val="single" w:sz="4" w:space="0" w:color="auto"/>
              <w:right w:val="single" w:sz="4" w:space="0" w:color="auto"/>
            </w:tcBorders>
            <w:hideMark/>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170</w:t>
            </w:r>
          </w:p>
        </w:tc>
        <w:tc>
          <w:tcPr>
            <w:tcW w:w="1853"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198,9</w:t>
            </w:r>
          </w:p>
          <w:p w:rsidR="009C7171" w:rsidRPr="009C7171" w:rsidRDefault="009C7171" w:rsidP="009C7171">
            <w:pPr>
              <w:jc w:val="center"/>
              <w:rPr>
                <w:rFonts w:ascii="Calibri" w:hAnsi="Calibri" w:cs="Calibri"/>
                <w:b/>
                <w:color w:val="000000"/>
              </w:rPr>
            </w:pPr>
          </w:p>
        </w:tc>
        <w:tc>
          <w:tcPr>
            <w:tcW w:w="1666"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255</w:t>
            </w:r>
          </w:p>
        </w:tc>
        <w:tc>
          <w:tcPr>
            <w:tcW w:w="1572"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282,2</w:t>
            </w:r>
          </w:p>
        </w:tc>
      </w:tr>
      <w:tr w:rsidR="009C7171" w:rsidRPr="009C7171" w:rsidTr="0014324E">
        <w:tc>
          <w:tcPr>
            <w:tcW w:w="2132" w:type="dxa"/>
            <w:tcBorders>
              <w:top w:val="single" w:sz="4" w:space="0" w:color="auto"/>
              <w:left w:val="single" w:sz="4" w:space="0" w:color="auto"/>
              <w:bottom w:val="single" w:sz="4" w:space="0" w:color="auto"/>
              <w:right w:val="single" w:sz="4" w:space="0" w:color="auto"/>
            </w:tcBorders>
            <w:hideMark/>
          </w:tcPr>
          <w:p w:rsidR="009C7171" w:rsidRPr="009C7171" w:rsidRDefault="009C7171" w:rsidP="009C7171">
            <w:pPr>
              <w:rPr>
                <w:rFonts w:ascii="Calibri" w:hAnsi="Calibri" w:cs="Calibri"/>
                <w:b/>
                <w:color w:val="000000"/>
              </w:rPr>
            </w:pPr>
            <w:r w:rsidRPr="009C7171">
              <w:rPr>
                <w:rFonts w:ascii="Calibri" w:hAnsi="Calibri" w:cs="Calibri"/>
                <w:b/>
                <w:color w:val="000000"/>
              </w:rPr>
              <w:t>2. območje</w:t>
            </w:r>
          </w:p>
          <w:p w:rsidR="009C7171" w:rsidRPr="009C7171" w:rsidRDefault="009C7171" w:rsidP="009C7171">
            <w:pPr>
              <w:rPr>
                <w:rFonts w:ascii="Calibri" w:hAnsi="Calibri" w:cs="Calibri"/>
                <w:b/>
                <w:color w:val="000000"/>
              </w:rPr>
            </w:pPr>
          </w:p>
        </w:tc>
        <w:tc>
          <w:tcPr>
            <w:tcW w:w="1839" w:type="dxa"/>
            <w:tcBorders>
              <w:top w:val="single" w:sz="4" w:space="0" w:color="auto"/>
              <w:left w:val="single" w:sz="4" w:space="0" w:color="auto"/>
              <w:bottom w:val="single" w:sz="4" w:space="0" w:color="auto"/>
              <w:right w:val="single" w:sz="4" w:space="0" w:color="auto"/>
            </w:tcBorders>
            <w:hideMark/>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144,5</w:t>
            </w:r>
          </w:p>
          <w:p w:rsidR="009C7171" w:rsidRPr="009C7171" w:rsidRDefault="009C7171" w:rsidP="009C7171">
            <w:pPr>
              <w:jc w:val="center"/>
              <w:rPr>
                <w:rFonts w:ascii="Calibri" w:hAnsi="Calibri" w:cs="Calibri"/>
                <w:b/>
                <w:color w:val="000000"/>
              </w:rPr>
            </w:pPr>
          </w:p>
        </w:tc>
        <w:tc>
          <w:tcPr>
            <w:tcW w:w="1853"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168,3</w:t>
            </w:r>
          </w:p>
        </w:tc>
        <w:tc>
          <w:tcPr>
            <w:tcW w:w="1666"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217,6</w:t>
            </w:r>
          </w:p>
        </w:tc>
        <w:tc>
          <w:tcPr>
            <w:tcW w:w="1572"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239,7</w:t>
            </w:r>
          </w:p>
        </w:tc>
      </w:tr>
      <w:tr w:rsidR="009C7171" w:rsidRPr="009C7171" w:rsidTr="0014324E">
        <w:tc>
          <w:tcPr>
            <w:tcW w:w="2132"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rPr>
                <w:rFonts w:ascii="Calibri" w:hAnsi="Calibri" w:cs="Calibri"/>
                <w:b/>
                <w:color w:val="000000"/>
              </w:rPr>
            </w:pPr>
            <w:r w:rsidRPr="009C7171">
              <w:rPr>
                <w:rFonts w:ascii="Calibri" w:hAnsi="Calibri" w:cs="Calibri"/>
                <w:b/>
                <w:color w:val="000000"/>
              </w:rPr>
              <w:t>3. območje</w:t>
            </w:r>
          </w:p>
          <w:p w:rsidR="009C7171" w:rsidRPr="009C7171" w:rsidRDefault="009C7171" w:rsidP="009C7171">
            <w:pPr>
              <w:rPr>
                <w:rFonts w:ascii="Calibri" w:hAnsi="Calibri" w:cs="Calibri"/>
                <w:b/>
                <w:color w:val="000000"/>
              </w:rPr>
            </w:pPr>
          </w:p>
        </w:tc>
        <w:tc>
          <w:tcPr>
            <w:tcW w:w="1839"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134,3</w:t>
            </w:r>
          </w:p>
        </w:tc>
        <w:tc>
          <w:tcPr>
            <w:tcW w:w="1853"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156,4</w:t>
            </w:r>
          </w:p>
        </w:tc>
        <w:tc>
          <w:tcPr>
            <w:tcW w:w="1666"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202,3</w:t>
            </w:r>
          </w:p>
        </w:tc>
        <w:tc>
          <w:tcPr>
            <w:tcW w:w="1572" w:type="dxa"/>
            <w:tcBorders>
              <w:top w:val="single" w:sz="4" w:space="0" w:color="auto"/>
              <w:left w:val="single" w:sz="4" w:space="0" w:color="auto"/>
              <w:bottom w:val="single" w:sz="4" w:space="0" w:color="auto"/>
              <w:right w:val="single" w:sz="4" w:space="0" w:color="auto"/>
            </w:tcBorders>
          </w:tcPr>
          <w:p w:rsidR="009C7171" w:rsidRPr="009C7171" w:rsidRDefault="009C7171" w:rsidP="009C7171">
            <w:pPr>
              <w:jc w:val="center"/>
              <w:rPr>
                <w:rFonts w:ascii="Calibri" w:hAnsi="Calibri" w:cs="Calibri"/>
                <w:b/>
                <w:color w:val="000000"/>
              </w:rPr>
            </w:pPr>
            <w:r w:rsidRPr="009C7171">
              <w:rPr>
                <w:rFonts w:ascii="Calibri" w:hAnsi="Calibri" w:cs="Calibri"/>
                <w:b/>
                <w:color w:val="000000"/>
              </w:rPr>
              <w:t>224,4</w:t>
            </w:r>
          </w:p>
        </w:tc>
      </w:tr>
    </w:tbl>
    <w:p w:rsidR="00B60510" w:rsidRDefault="00B60510" w:rsidP="003D6B21">
      <w:pPr>
        <w:jc w:val="both"/>
        <w:rPr>
          <w:rFonts w:cstheme="minorHAnsi"/>
        </w:rPr>
      </w:pPr>
    </w:p>
    <w:p w:rsidR="00A21EBF" w:rsidRDefault="00A21EBF" w:rsidP="003D6B21">
      <w:pPr>
        <w:jc w:val="both"/>
        <w:rPr>
          <w:rFonts w:cstheme="minorHAnsi"/>
        </w:rPr>
      </w:pPr>
      <w:r>
        <w:rPr>
          <w:rFonts w:cstheme="minorHAnsi"/>
        </w:rPr>
        <w:t xml:space="preserve">K </w:t>
      </w:r>
      <w:r w:rsidR="00A46773">
        <w:rPr>
          <w:rFonts w:cstheme="minorHAnsi"/>
        </w:rPr>
        <w:t>1</w:t>
      </w:r>
      <w:r w:rsidR="009C7171">
        <w:rPr>
          <w:rFonts w:cstheme="minorHAnsi"/>
        </w:rPr>
        <w:t>0</w:t>
      </w:r>
      <w:r w:rsidR="00A46773">
        <w:rPr>
          <w:rFonts w:cstheme="minorHAnsi"/>
        </w:rPr>
        <w:t>. člen</w:t>
      </w:r>
      <w:r>
        <w:rPr>
          <w:rFonts w:cstheme="minorHAnsi"/>
        </w:rPr>
        <w:t>u</w:t>
      </w:r>
    </w:p>
    <w:p w:rsidR="009C7171" w:rsidRDefault="00A21EBF" w:rsidP="003D6B21">
      <w:pPr>
        <w:jc w:val="both"/>
        <w:rPr>
          <w:rFonts w:cstheme="minorHAnsi"/>
        </w:rPr>
      </w:pPr>
      <w:r>
        <w:rPr>
          <w:rFonts w:cstheme="minorHAnsi"/>
        </w:rPr>
        <w:t xml:space="preserve">Člen določa način določitve </w:t>
      </w:r>
      <w:r w:rsidR="009C7171">
        <w:rPr>
          <w:rFonts w:cstheme="minorHAnsi"/>
        </w:rPr>
        <w:t>v</w:t>
      </w:r>
      <w:r>
        <w:rPr>
          <w:rFonts w:cstheme="minorHAnsi"/>
        </w:rPr>
        <w:t xml:space="preserve">išine </w:t>
      </w:r>
      <w:r w:rsidR="009C7171">
        <w:rPr>
          <w:rFonts w:cstheme="minorHAnsi"/>
        </w:rPr>
        <w:t>nadomestila</w:t>
      </w:r>
      <w:r>
        <w:rPr>
          <w:rFonts w:cstheme="minorHAnsi"/>
        </w:rPr>
        <w:t xml:space="preserve"> za zazidana in nezazidana stavbna zemljišča.</w:t>
      </w:r>
    </w:p>
    <w:p w:rsidR="00A21EBF" w:rsidRDefault="00A21EBF" w:rsidP="003D6B21">
      <w:pPr>
        <w:jc w:val="both"/>
        <w:rPr>
          <w:rFonts w:cstheme="minorHAnsi"/>
        </w:rPr>
      </w:pPr>
      <w:r>
        <w:rPr>
          <w:rFonts w:cstheme="minorHAnsi"/>
        </w:rPr>
        <w:t xml:space="preserve">K </w:t>
      </w:r>
      <w:r w:rsidR="009C7171">
        <w:rPr>
          <w:rFonts w:cstheme="minorHAnsi"/>
        </w:rPr>
        <w:t>11. člen</w:t>
      </w:r>
      <w:r>
        <w:rPr>
          <w:rFonts w:cstheme="minorHAnsi"/>
        </w:rPr>
        <w:t>u</w:t>
      </w:r>
      <w:r w:rsidR="009C7171">
        <w:rPr>
          <w:rFonts w:cstheme="minorHAnsi"/>
        </w:rPr>
        <w:t xml:space="preserve"> </w:t>
      </w:r>
    </w:p>
    <w:p w:rsidR="00A21EBF" w:rsidRDefault="00A21EBF" w:rsidP="003D6B21">
      <w:pPr>
        <w:jc w:val="both"/>
        <w:rPr>
          <w:rFonts w:cstheme="minorHAnsi"/>
        </w:rPr>
      </w:pPr>
      <w:r>
        <w:rPr>
          <w:rFonts w:cstheme="minorHAnsi"/>
        </w:rPr>
        <w:t>Člen določa vrednost točke za leto 2022 in pogoje za njeno uskladitev in spreminjanje.</w:t>
      </w:r>
    </w:p>
    <w:p w:rsidR="00A46773" w:rsidRDefault="00A46773" w:rsidP="003D6B21">
      <w:pPr>
        <w:jc w:val="both"/>
        <w:rPr>
          <w:rFonts w:cstheme="minorHAnsi"/>
        </w:rPr>
      </w:pPr>
      <w:r>
        <w:rPr>
          <w:rFonts w:cstheme="minorHAnsi"/>
        </w:rPr>
        <w:t>vrednost točke in pogoji za njeno spreminjanje.</w:t>
      </w:r>
    </w:p>
    <w:p w:rsidR="00A46773" w:rsidRDefault="00A21EBF" w:rsidP="003D6B21">
      <w:pPr>
        <w:jc w:val="both"/>
        <w:rPr>
          <w:rFonts w:cstheme="minorHAnsi"/>
        </w:rPr>
      </w:pPr>
      <w:r>
        <w:rPr>
          <w:rFonts w:cstheme="minorHAnsi"/>
        </w:rPr>
        <w:t xml:space="preserve">K </w:t>
      </w:r>
      <w:r w:rsidR="00A46773">
        <w:rPr>
          <w:rFonts w:cstheme="minorHAnsi"/>
        </w:rPr>
        <w:t>12. člen</w:t>
      </w:r>
      <w:r>
        <w:rPr>
          <w:rFonts w:cstheme="minorHAnsi"/>
        </w:rPr>
        <w:t>u</w:t>
      </w:r>
    </w:p>
    <w:p w:rsidR="00A21EBF" w:rsidRDefault="00A21EBF" w:rsidP="003D6B21">
      <w:pPr>
        <w:jc w:val="both"/>
        <w:rPr>
          <w:rFonts w:cstheme="minorHAnsi"/>
        </w:rPr>
      </w:pPr>
      <w:r>
        <w:rPr>
          <w:rFonts w:cstheme="minorHAnsi"/>
        </w:rPr>
        <w:t>Člen določa zavezanca za nadomestilo za uporabo stavbnega zemljišča-.</w:t>
      </w:r>
    </w:p>
    <w:p w:rsidR="00E7764B" w:rsidRDefault="00E7764B" w:rsidP="003D6B21">
      <w:pPr>
        <w:jc w:val="both"/>
        <w:rPr>
          <w:rFonts w:cstheme="minorHAnsi"/>
        </w:rPr>
      </w:pPr>
      <w:r>
        <w:rPr>
          <w:rFonts w:cstheme="minorHAnsi"/>
        </w:rPr>
        <w:t xml:space="preserve">K </w:t>
      </w:r>
      <w:r w:rsidR="00A46773">
        <w:rPr>
          <w:rFonts w:cstheme="minorHAnsi"/>
        </w:rPr>
        <w:t>13. člen</w:t>
      </w:r>
      <w:r>
        <w:rPr>
          <w:rFonts w:cstheme="minorHAnsi"/>
        </w:rPr>
        <w:t>u</w:t>
      </w:r>
    </w:p>
    <w:p w:rsidR="00A46773" w:rsidRDefault="00E7764B" w:rsidP="003D6B21">
      <w:pPr>
        <w:jc w:val="both"/>
        <w:rPr>
          <w:rFonts w:cstheme="minorHAnsi"/>
        </w:rPr>
      </w:pPr>
      <w:r>
        <w:rPr>
          <w:rFonts w:cstheme="minorHAnsi"/>
        </w:rPr>
        <w:t xml:space="preserve">Člen določi, </w:t>
      </w:r>
      <w:r w:rsidR="00A46773">
        <w:rPr>
          <w:rFonts w:cstheme="minorHAnsi"/>
        </w:rPr>
        <w:t xml:space="preserve"> </w:t>
      </w:r>
      <w:r w:rsidR="00A21EBF">
        <w:rPr>
          <w:rFonts w:cstheme="minorHAnsi"/>
        </w:rPr>
        <w:t>kako se ravna v primeru</w:t>
      </w:r>
      <w:r w:rsidR="009C7171">
        <w:rPr>
          <w:rFonts w:cstheme="minorHAnsi"/>
        </w:rPr>
        <w:t xml:space="preserve"> v primeru neusklajenosti </w:t>
      </w:r>
      <w:r w:rsidR="00A21EBF">
        <w:rPr>
          <w:rFonts w:cstheme="minorHAnsi"/>
        </w:rPr>
        <w:t xml:space="preserve">podatkov </w:t>
      </w:r>
      <w:r>
        <w:rPr>
          <w:rFonts w:cstheme="minorHAnsi"/>
        </w:rPr>
        <w:t>z uradnimi evidencami.</w:t>
      </w:r>
    </w:p>
    <w:p w:rsidR="00E7764B" w:rsidRDefault="00E7764B" w:rsidP="003D6B21">
      <w:pPr>
        <w:jc w:val="both"/>
        <w:rPr>
          <w:rFonts w:cstheme="minorHAnsi"/>
        </w:rPr>
      </w:pPr>
      <w:r>
        <w:rPr>
          <w:rFonts w:cstheme="minorHAnsi"/>
        </w:rPr>
        <w:t>K 14. členu</w:t>
      </w:r>
    </w:p>
    <w:p w:rsidR="00A46773" w:rsidRDefault="00E7764B" w:rsidP="003D6B21">
      <w:pPr>
        <w:jc w:val="both"/>
        <w:rPr>
          <w:rFonts w:cstheme="minorHAnsi"/>
        </w:rPr>
      </w:pPr>
      <w:r>
        <w:rPr>
          <w:rFonts w:cstheme="minorHAnsi"/>
        </w:rPr>
        <w:t>Člen določa odmero nadomestila. Za odmero in vse postopke v zvezi z njo je pristojna območna izpostava FURS.</w:t>
      </w:r>
    </w:p>
    <w:p w:rsidR="00E7764B" w:rsidRDefault="00E7764B" w:rsidP="003D6B21">
      <w:pPr>
        <w:jc w:val="both"/>
        <w:rPr>
          <w:rFonts w:cstheme="minorHAnsi"/>
        </w:rPr>
      </w:pPr>
      <w:r>
        <w:rPr>
          <w:rFonts w:cstheme="minorHAnsi"/>
        </w:rPr>
        <w:t xml:space="preserve">K </w:t>
      </w:r>
      <w:r w:rsidR="00A46773">
        <w:rPr>
          <w:rFonts w:cstheme="minorHAnsi"/>
        </w:rPr>
        <w:t>15. člen</w:t>
      </w:r>
      <w:r>
        <w:rPr>
          <w:rFonts w:cstheme="minorHAnsi"/>
        </w:rPr>
        <w:t>u</w:t>
      </w:r>
    </w:p>
    <w:p w:rsidR="00A46773" w:rsidRDefault="00E7764B" w:rsidP="003D6B21">
      <w:pPr>
        <w:jc w:val="both"/>
        <w:rPr>
          <w:rFonts w:cstheme="minorHAnsi"/>
        </w:rPr>
      </w:pPr>
      <w:r>
        <w:rPr>
          <w:rFonts w:cstheme="minorHAnsi"/>
        </w:rPr>
        <w:t xml:space="preserve">Ta člen določa oprostitve plačila nadomestila za uporabo stavbnega zemljišča: </w:t>
      </w:r>
      <w:r w:rsidR="00A46773">
        <w:rPr>
          <w:rFonts w:cstheme="minorHAnsi"/>
        </w:rPr>
        <w:t xml:space="preserve"> izključno kot je določeno v zakonu (ZSZ, 59. člen)</w:t>
      </w:r>
      <w:r>
        <w:rPr>
          <w:rFonts w:cstheme="minorHAnsi"/>
        </w:rPr>
        <w:t>, upoštevajoč zadnjo sodno prakso s tega področja in stališčem MOP.</w:t>
      </w:r>
    </w:p>
    <w:p w:rsidR="00E7764B" w:rsidRDefault="00E7764B" w:rsidP="003D6B21">
      <w:pPr>
        <w:jc w:val="both"/>
        <w:rPr>
          <w:rFonts w:cstheme="minorHAnsi"/>
        </w:rPr>
      </w:pPr>
      <w:r>
        <w:rPr>
          <w:rFonts w:cstheme="minorHAnsi"/>
        </w:rPr>
        <w:t xml:space="preserve">K </w:t>
      </w:r>
      <w:r w:rsidR="00A46773">
        <w:rPr>
          <w:rFonts w:cstheme="minorHAnsi"/>
        </w:rPr>
        <w:t>1</w:t>
      </w:r>
      <w:r>
        <w:rPr>
          <w:rFonts w:cstheme="minorHAnsi"/>
        </w:rPr>
        <w:t>6</w:t>
      </w:r>
      <w:r w:rsidR="00A46773">
        <w:rPr>
          <w:rFonts w:cstheme="minorHAnsi"/>
        </w:rPr>
        <w:t>. člen</w:t>
      </w:r>
      <w:r>
        <w:rPr>
          <w:rFonts w:cstheme="minorHAnsi"/>
        </w:rPr>
        <w:t>u</w:t>
      </w:r>
      <w:r w:rsidR="00A46773">
        <w:rPr>
          <w:rFonts w:cstheme="minorHAnsi"/>
        </w:rPr>
        <w:t xml:space="preserve"> </w:t>
      </w:r>
    </w:p>
    <w:p w:rsidR="00A46773" w:rsidRDefault="00E7764B" w:rsidP="003D6B21">
      <w:pPr>
        <w:jc w:val="both"/>
        <w:rPr>
          <w:rFonts w:cstheme="minorHAnsi"/>
        </w:rPr>
      </w:pPr>
      <w:r>
        <w:rPr>
          <w:rFonts w:cstheme="minorHAnsi"/>
        </w:rPr>
        <w:t>Ta člen določa razveljavitveno določbo-prenehanje delovanje obstoječega odloka.</w:t>
      </w:r>
    </w:p>
    <w:p w:rsidR="00E7764B" w:rsidRDefault="00E7764B" w:rsidP="003D6B21">
      <w:pPr>
        <w:jc w:val="both"/>
        <w:rPr>
          <w:rFonts w:cstheme="minorHAnsi"/>
        </w:rPr>
      </w:pPr>
      <w:r>
        <w:rPr>
          <w:rFonts w:cstheme="minorHAnsi"/>
        </w:rPr>
        <w:t>K 17</w:t>
      </w:r>
      <w:r w:rsidR="00A46773">
        <w:rPr>
          <w:rFonts w:cstheme="minorHAnsi"/>
        </w:rPr>
        <w:t>. člen</w:t>
      </w:r>
      <w:r>
        <w:rPr>
          <w:rFonts w:cstheme="minorHAnsi"/>
        </w:rPr>
        <w:t>u</w:t>
      </w:r>
    </w:p>
    <w:p w:rsidR="00A46773" w:rsidRDefault="00E7764B" w:rsidP="003D6B21">
      <w:pPr>
        <w:jc w:val="both"/>
        <w:rPr>
          <w:rFonts w:cstheme="minorHAnsi"/>
        </w:rPr>
      </w:pPr>
      <w:r>
        <w:rPr>
          <w:rFonts w:cstheme="minorHAnsi"/>
        </w:rPr>
        <w:t>Ta člen določa pričetek veljavnosti odloka o nadomestilu za uporabo stavbnega zemljišča v Občini Kidričevo. odlok začne veljati naslednji dan po objavi v uradnem listu, uporabljati pa se prične 1. 1. 2022.</w:t>
      </w:r>
    </w:p>
    <w:p w:rsidR="00A46773" w:rsidRDefault="00A46773" w:rsidP="003D6B21">
      <w:pPr>
        <w:jc w:val="both"/>
        <w:rPr>
          <w:rFonts w:cstheme="minorHAnsi"/>
        </w:rPr>
      </w:pPr>
    </w:p>
    <w:p w:rsidR="00DE1EF1" w:rsidRPr="003D6B21" w:rsidRDefault="00DE1EF1" w:rsidP="003D6B21">
      <w:pPr>
        <w:jc w:val="both"/>
        <w:rPr>
          <w:rFonts w:cstheme="minorHAnsi"/>
        </w:rPr>
      </w:pPr>
    </w:p>
    <w:p w:rsidR="007A6695" w:rsidRDefault="007A6695"/>
    <w:sectPr w:rsidR="007A669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09" w:rsidRDefault="00355909" w:rsidP="00F653CC">
      <w:pPr>
        <w:spacing w:after="0" w:line="240" w:lineRule="auto"/>
      </w:pPr>
      <w:r>
        <w:separator/>
      </w:r>
    </w:p>
  </w:endnote>
  <w:endnote w:type="continuationSeparator" w:id="0">
    <w:p w:rsidR="00355909" w:rsidRDefault="00355909" w:rsidP="00F6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yriad Web Pro">
    <w:altName w:val="Corbel"/>
    <w:charset w:val="EE"/>
    <w:family w:val="swiss"/>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CC" w:rsidRDefault="00F653C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CC" w:rsidRDefault="00F653C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CC" w:rsidRDefault="00F653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09" w:rsidRDefault="00355909" w:rsidP="00F653CC">
      <w:pPr>
        <w:spacing w:after="0" w:line="240" w:lineRule="auto"/>
      </w:pPr>
      <w:r>
        <w:separator/>
      </w:r>
    </w:p>
  </w:footnote>
  <w:footnote w:type="continuationSeparator" w:id="0">
    <w:p w:rsidR="00355909" w:rsidRDefault="00355909" w:rsidP="00F65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CC" w:rsidRDefault="00F653C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CC" w:rsidRDefault="00F653C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CC" w:rsidRDefault="00F653C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1231"/>
    <w:multiLevelType w:val="hybridMultilevel"/>
    <w:tmpl w:val="2D00BDAA"/>
    <w:lvl w:ilvl="0" w:tplc="E86892F4">
      <w:start w:val="7"/>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5A0A59"/>
    <w:multiLevelType w:val="multilevel"/>
    <w:tmpl w:val="73527F5A"/>
    <w:lvl w:ilvl="0">
      <w:start w:val="1"/>
      <w:numFmt w:val="decimal"/>
      <w:lvlText w:val="%1."/>
      <w:lvlJc w:val="left"/>
      <w:pPr>
        <w:ind w:left="360" w:hanging="360"/>
      </w:pPr>
      <w:rPr>
        <w:sz w:val="28"/>
        <w:szCs w:val="28"/>
      </w:rPr>
    </w:lvl>
    <w:lvl w:ilvl="1">
      <w:start w:val="1"/>
      <w:numFmt w:val="decimal"/>
      <w:lvlText w:val="%1.%2."/>
      <w:lvlJc w:val="left"/>
      <w:pPr>
        <w:ind w:left="716"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946BA4"/>
    <w:multiLevelType w:val="hybridMultilevel"/>
    <w:tmpl w:val="7D186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DEA6743"/>
    <w:multiLevelType w:val="hybridMultilevel"/>
    <w:tmpl w:val="A40E51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95"/>
    <w:rsid w:val="000075FF"/>
    <w:rsid w:val="00042D2D"/>
    <w:rsid w:val="000B0C99"/>
    <w:rsid w:val="000C6EB9"/>
    <w:rsid w:val="00185064"/>
    <w:rsid w:val="00187043"/>
    <w:rsid w:val="00240F67"/>
    <w:rsid w:val="002428CB"/>
    <w:rsid w:val="00254F6C"/>
    <w:rsid w:val="00355909"/>
    <w:rsid w:val="0039244D"/>
    <w:rsid w:val="003D6B21"/>
    <w:rsid w:val="00447283"/>
    <w:rsid w:val="00546D83"/>
    <w:rsid w:val="005808DF"/>
    <w:rsid w:val="00606FD7"/>
    <w:rsid w:val="00613093"/>
    <w:rsid w:val="00660F14"/>
    <w:rsid w:val="0067509B"/>
    <w:rsid w:val="006F716A"/>
    <w:rsid w:val="00705EC3"/>
    <w:rsid w:val="007A6695"/>
    <w:rsid w:val="0086589A"/>
    <w:rsid w:val="009C7171"/>
    <w:rsid w:val="009E2E46"/>
    <w:rsid w:val="00A21EBF"/>
    <w:rsid w:val="00A46773"/>
    <w:rsid w:val="00B60510"/>
    <w:rsid w:val="00BB65A5"/>
    <w:rsid w:val="00C36DE2"/>
    <w:rsid w:val="00C516A5"/>
    <w:rsid w:val="00C57B40"/>
    <w:rsid w:val="00CA3017"/>
    <w:rsid w:val="00D249B4"/>
    <w:rsid w:val="00DC4D17"/>
    <w:rsid w:val="00DE1EF1"/>
    <w:rsid w:val="00E14853"/>
    <w:rsid w:val="00E16208"/>
    <w:rsid w:val="00E7764B"/>
    <w:rsid w:val="00F1105D"/>
    <w:rsid w:val="00F647DE"/>
    <w:rsid w:val="00F653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162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D6B21"/>
    <w:rPr>
      <w:color w:val="0563C1" w:themeColor="hyperlink"/>
      <w:u w:val="single"/>
    </w:rPr>
  </w:style>
  <w:style w:type="character" w:customStyle="1" w:styleId="Naslov1Znak">
    <w:name w:val="Naslov 1 Znak"/>
    <w:basedOn w:val="Privzetapisavaodstavka"/>
    <w:link w:val="Naslov1"/>
    <w:uiPriority w:val="9"/>
    <w:rsid w:val="00E16208"/>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E16208"/>
    <w:pPr>
      <w:spacing w:after="0" w:line="240" w:lineRule="auto"/>
      <w:ind w:left="720"/>
      <w:contextualSpacing/>
    </w:pPr>
    <w:rPr>
      <w:rFonts w:ascii="Myriad Web Pro" w:eastAsia="Times New Roman" w:hAnsi="Myriad Web Pro" w:cs="Times New Roman"/>
      <w:sz w:val="20"/>
      <w:szCs w:val="18"/>
      <w:lang w:eastAsia="sl-SI"/>
    </w:rPr>
  </w:style>
  <w:style w:type="table" w:styleId="Tabelamrea">
    <w:name w:val="Table Grid"/>
    <w:basedOn w:val="Navadnatabela"/>
    <w:uiPriority w:val="39"/>
    <w:rsid w:val="00240F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avadnatabela"/>
    <w:next w:val="Tabelamrea"/>
    <w:uiPriority w:val="39"/>
    <w:rsid w:val="009C71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653CC"/>
    <w:pPr>
      <w:tabs>
        <w:tab w:val="center" w:pos="4536"/>
        <w:tab w:val="right" w:pos="9072"/>
      </w:tabs>
      <w:spacing w:after="0" w:line="240" w:lineRule="auto"/>
    </w:pPr>
  </w:style>
  <w:style w:type="character" w:customStyle="1" w:styleId="GlavaZnak">
    <w:name w:val="Glava Znak"/>
    <w:basedOn w:val="Privzetapisavaodstavka"/>
    <w:link w:val="Glava"/>
    <w:uiPriority w:val="99"/>
    <w:rsid w:val="00F653CC"/>
  </w:style>
  <w:style w:type="paragraph" w:styleId="Noga">
    <w:name w:val="footer"/>
    <w:basedOn w:val="Navaden"/>
    <w:link w:val="NogaZnak"/>
    <w:uiPriority w:val="99"/>
    <w:unhideWhenUsed/>
    <w:rsid w:val="00F653CC"/>
    <w:pPr>
      <w:tabs>
        <w:tab w:val="center" w:pos="4536"/>
        <w:tab w:val="right" w:pos="9072"/>
      </w:tabs>
      <w:spacing w:after="0" w:line="240" w:lineRule="auto"/>
    </w:pPr>
  </w:style>
  <w:style w:type="character" w:customStyle="1" w:styleId="NogaZnak">
    <w:name w:val="Noga Znak"/>
    <w:basedOn w:val="Privzetapisavaodstavka"/>
    <w:link w:val="Noga"/>
    <w:uiPriority w:val="99"/>
    <w:rsid w:val="00F6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1281">
      <w:bodyDiv w:val="1"/>
      <w:marLeft w:val="0"/>
      <w:marRight w:val="0"/>
      <w:marTop w:val="0"/>
      <w:marBottom w:val="0"/>
      <w:divBdr>
        <w:top w:val="none" w:sz="0" w:space="0" w:color="auto"/>
        <w:left w:val="none" w:sz="0" w:space="0" w:color="auto"/>
        <w:bottom w:val="none" w:sz="0" w:space="0" w:color="auto"/>
        <w:right w:val="none" w:sz="0" w:space="0" w:color="auto"/>
      </w:divBdr>
    </w:div>
    <w:div w:id="1049694512">
      <w:bodyDiv w:val="1"/>
      <w:marLeft w:val="0"/>
      <w:marRight w:val="0"/>
      <w:marTop w:val="0"/>
      <w:marBottom w:val="0"/>
      <w:divBdr>
        <w:top w:val="none" w:sz="0" w:space="0" w:color="auto"/>
        <w:left w:val="none" w:sz="0" w:space="0" w:color="auto"/>
        <w:bottom w:val="none" w:sz="0" w:space="0" w:color="auto"/>
        <w:right w:val="none" w:sz="0" w:space="0" w:color="auto"/>
      </w:divBdr>
    </w:div>
    <w:div w:id="1291278218">
      <w:bodyDiv w:val="1"/>
      <w:marLeft w:val="0"/>
      <w:marRight w:val="0"/>
      <w:marTop w:val="0"/>
      <w:marBottom w:val="0"/>
      <w:divBdr>
        <w:top w:val="none" w:sz="0" w:space="0" w:color="auto"/>
        <w:left w:val="none" w:sz="0" w:space="0" w:color="auto"/>
        <w:bottom w:val="none" w:sz="0" w:space="0" w:color="auto"/>
        <w:right w:val="none" w:sz="0" w:space="0" w:color="auto"/>
      </w:divBdr>
    </w:div>
    <w:div w:id="14830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0315" TargetMode="External"/><Relationship Id="rId13" Type="http://schemas.openxmlformats.org/officeDocument/2006/relationships/hyperlink" Target="http://www.pisrs.si/Pis.web/pregledPredpisa?id=ZAKO524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20-01-3088" TargetMode="External"/><Relationship Id="rId12" Type="http://schemas.openxmlformats.org/officeDocument/2006/relationships/hyperlink" Target="http://www.uradni-list.si/1/objava.jsp?sop=2021-01-155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1-01-031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20-01-308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radni-list.si/1/objava.jsp?sop=2021-01-155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2312</Words>
  <Characters>13185</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2021-10-13T06:03:00Z</dcterms:created>
  <dcterms:modified xsi:type="dcterms:W3CDTF">2021-10-13T06:03:00Z</dcterms:modified>
</cp:coreProperties>
</file>