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E6" w:rsidRPr="00B14718" w:rsidRDefault="005B2DE6" w:rsidP="005B2DE6">
      <w:r w:rsidRPr="00B14718">
        <w:t xml:space="preserve">Številka: </w:t>
      </w:r>
      <w:r w:rsidR="000C2334">
        <w:t>410-299/2017</w:t>
      </w:r>
    </w:p>
    <w:p w:rsidR="005B2DE6" w:rsidRPr="00B14718" w:rsidRDefault="00152B7C" w:rsidP="005B2DE6">
      <w:pPr>
        <w:jc w:val="both"/>
      </w:pPr>
      <w:r>
        <w:t xml:space="preserve">Datum: </w:t>
      </w:r>
      <w:r w:rsidR="00A1591B">
        <w:t>9</w:t>
      </w:r>
      <w:r>
        <w:t xml:space="preserve">. </w:t>
      </w:r>
      <w:r w:rsidR="00A1591B">
        <w:t>5. 2018</w:t>
      </w:r>
    </w:p>
    <w:p w:rsidR="001E6B9C" w:rsidRPr="0052092B" w:rsidRDefault="001E6B9C" w:rsidP="00703BF6"/>
    <w:p w:rsidR="008D536A" w:rsidRPr="0052092B" w:rsidRDefault="008D536A" w:rsidP="00703BF6"/>
    <w:p w:rsidR="008D536A" w:rsidRPr="0052092B" w:rsidRDefault="008D536A" w:rsidP="00703BF6"/>
    <w:p w:rsidR="001E6B9C" w:rsidRPr="0052092B" w:rsidRDefault="001E6B9C" w:rsidP="00703BF6"/>
    <w:p w:rsidR="001E6B9C" w:rsidRPr="0052092B" w:rsidRDefault="001E6B9C" w:rsidP="00703BF6">
      <w:pPr>
        <w:rPr>
          <w:b/>
        </w:rPr>
      </w:pPr>
      <w:r w:rsidRPr="0052092B">
        <w:rPr>
          <w:b/>
        </w:rPr>
        <w:t>MESTNI SVET</w:t>
      </w:r>
    </w:p>
    <w:p w:rsidR="001E6B9C" w:rsidRPr="0052092B" w:rsidRDefault="001E6B9C" w:rsidP="00703BF6">
      <w:pPr>
        <w:rPr>
          <w:b/>
        </w:rPr>
      </w:pPr>
      <w:r w:rsidRPr="0052092B">
        <w:rPr>
          <w:b/>
        </w:rPr>
        <w:t>MESTNE OBČINE PTUJ</w:t>
      </w:r>
    </w:p>
    <w:p w:rsidR="001E6B9C" w:rsidRPr="0052092B" w:rsidRDefault="001E6B9C" w:rsidP="00703BF6"/>
    <w:p w:rsidR="00005D12" w:rsidRPr="0052092B" w:rsidRDefault="00005D12" w:rsidP="00703BF6"/>
    <w:p w:rsidR="00005D12" w:rsidRPr="0052092B" w:rsidRDefault="00005D12" w:rsidP="00703BF6"/>
    <w:p w:rsidR="00C10993" w:rsidRPr="0052092B" w:rsidRDefault="00005D12" w:rsidP="00703BF6">
      <w:pPr>
        <w:ind w:left="1276" w:hanging="1276"/>
        <w:jc w:val="both"/>
        <w:rPr>
          <w:b/>
        </w:rPr>
      </w:pPr>
      <w:r w:rsidRPr="0052092B">
        <w:rPr>
          <w:b/>
        </w:rPr>
        <w:t>ZADEVA:</w:t>
      </w:r>
      <w:r w:rsidR="00766124" w:rsidRPr="0052092B">
        <w:rPr>
          <w:b/>
        </w:rPr>
        <w:t xml:space="preserve"> Predlog </w:t>
      </w:r>
      <w:r w:rsidR="00D52478" w:rsidRPr="0052092B">
        <w:rPr>
          <w:b/>
        </w:rPr>
        <w:t>S</w:t>
      </w:r>
      <w:r w:rsidR="001E6B9C" w:rsidRPr="0052092B">
        <w:rPr>
          <w:b/>
        </w:rPr>
        <w:t xml:space="preserve">klepa o </w:t>
      </w:r>
      <w:r w:rsidR="00766124" w:rsidRPr="0052092B">
        <w:rPr>
          <w:b/>
        </w:rPr>
        <w:t xml:space="preserve">potrditvi </w:t>
      </w:r>
      <w:r w:rsidR="004A5702">
        <w:rPr>
          <w:b/>
        </w:rPr>
        <w:t xml:space="preserve">spremembe </w:t>
      </w:r>
      <w:r w:rsidR="00F06E94" w:rsidRPr="0052092B">
        <w:rPr>
          <w:b/>
        </w:rPr>
        <w:t>Načrt</w:t>
      </w:r>
      <w:r w:rsidR="00854D79" w:rsidRPr="0052092B">
        <w:rPr>
          <w:b/>
        </w:rPr>
        <w:t>a</w:t>
      </w:r>
      <w:r w:rsidR="00F06E94" w:rsidRPr="0052092B">
        <w:rPr>
          <w:b/>
        </w:rPr>
        <w:t xml:space="preserve"> razvojnega programa (NRP) </w:t>
      </w:r>
      <w:r w:rsidR="00823C14">
        <w:rPr>
          <w:b/>
        </w:rPr>
        <w:t>»</w:t>
      </w:r>
      <w:r w:rsidR="00152B7C">
        <w:rPr>
          <w:b/>
        </w:rPr>
        <w:t>Ureditev kolesarskih povezav v naselju Ptuj – odsek 1</w:t>
      </w:r>
      <w:r w:rsidR="00823C14">
        <w:rPr>
          <w:b/>
        </w:rPr>
        <w:t>«</w:t>
      </w:r>
    </w:p>
    <w:p w:rsidR="00964897" w:rsidRPr="0052092B" w:rsidRDefault="00964897" w:rsidP="00703BF6"/>
    <w:p w:rsidR="00005D12" w:rsidRPr="0052092B" w:rsidRDefault="00005D12" w:rsidP="00703BF6">
      <w:pPr>
        <w:jc w:val="both"/>
      </w:pPr>
    </w:p>
    <w:p w:rsidR="00823C14" w:rsidRPr="00823C14" w:rsidRDefault="00097307" w:rsidP="00823C14">
      <w:pPr>
        <w:jc w:val="both"/>
        <w:rPr>
          <w:b/>
        </w:rPr>
      </w:pPr>
      <w:r w:rsidRPr="0052092B">
        <w:t>V skladu z določili 23. člena Statuta Mestne občine Ptuj (Uradni vestnik Mestne občine Ptuj, št. 9/07) in 76. člena Poslovnika Mestnega sveta Mestne občine Ptuj (Uradni vestnik Mestne občine Ptuj, št. 12/0</w:t>
      </w:r>
      <w:r w:rsidR="00FC5126" w:rsidRPr="0052092B">
        <w:t>7</w:t>
      </w:r>
      <w:r w:rsidR="003560AB" w:rsidRPr="0052092B">
        <w:t xml:space="preserve">, 1/09, </w:t>
      </w:r>
      <w:r w:rsidRPr="0052092B">
        <w:t>2/14</w:t>
      </w:r>
      <w:r w:rsidR="00D211CA">
        <w:t xml:space="preserve">, </w:t>
      </w:r>
      <w:r w:rsidR="003560AB" w:rsidRPr="0052092B">
        <w:t>7/15</w:t>
      </w:r>
      <w:r w:rsidR="00D211CA">
        <w:t xml:space="preserve"> in 9/17</w:t>
      </w:r>
      <w:r w:rsidRPr="0052092B">
        <w:t xml:space="preserve">), predlagam Mestnemu svetu Mestne občine Ptuj v </w:t>
      </w:r>
      <w:r w:rsidRPr="00D211CA">
        <w:t xml:space="preserve">obravnavo in sprejem predlog </w:t>
      </w:r>
      <w:r w:rsidR="00387834" w:rsidRPr="00D211CA">
        <w:t xml:space="preserve">Sklepa o </w:t>
      </w:r>
      <w:r w:rsidR="00D75085" w:rsidRPr="00D211CA">
        <w:t xml:space="preserve">potrditvi </w:t>
      </w:r>
      <w:r w:rsidR="004A5702">
        <w:t xml:space="preserve">spremembe </w:t>
      </w:r>
      <w:r w:rsidR="00854D79" w:rsidRPr="00D211CA">
        <w:t>Načr</w:t>
      </w:r>
      <w:r w:rsidR="00D211CA" w:rsidRPr="00D211CA">
        <w:t xml:space="preserve">ta razvojnega programa </w:t>
      </w:r>
      <w:r w:rsidR="00F95934" w:rsidRPr="00D211CA">
        <w:t>(NRP)</w:t>
      </w:r>
      <w:r w:rsidR="00217AA7" w:rsidRPr="00D211CA">
        <w:t xml:space="preserve"> </w:t>
      </w:r>
      <w:r w:rsidR="00823C14" w:rsidRPr="00152B7C">
        <w:t>»</w:t>
      </w:r>
      <w:r w:rsidR="00152B7C" w:rsidRPr="00152B7C">
        <w:t>Ureditev kolesarskih povezav v naselju Ptuj – odsek 1</w:t>
      </w:r>
      <w:r w:rsidR="00823C14" w:rsidRPr="00152B7C">
        <w:t>«</w:t>
      </w:r>
      <w:r w:rsidR="00D211CA" w:rsidRPr="00152B7C">
        <w:t>.</w:t>
      </w:r>
    </w:p>
    <w:p w:rsidR="00387834" w:rsidRPr="0052092B" w:rsidRDefault="00387834" w:rsidP="00703BF6">
      <w:pPr>
        <w:jc w:val="both"/>
      </w:pPr>
    </w:p>
    <w:p w:rsidR="00387834" w:rsidRPr="0052092B" w:rsidRDefault="00387834" w:rsidP="00703BF6"/>
    <w:p w:rsidR="00387834" w:rsidRPr="0052092B" w:rsidRDefault="009B3911" w:rsidP="00703BF6">
      <w:pPr>
        <w:ind w:left="3600" w:firstLine="720"/>
        <w:jc w:val="center"/>
      </w:pPr>
      <w:r w:rsidRPr="0052092B">
        <w:t xml:space="preserve">  </w:t>
      </w:r>
      <w:r w:rsidR="000C1E72" w:rsidRPr="0052092B">
        <w:t>Miran SENČAR</w:t>
      </w:r>
      <w:r w:rsidR="00ED5138" w:rsidRPr="0052092B">
        <w:t>,</w:t>
      </w:r>
    </w:p>
    <w:p w:rsidR="00387834" w:rsidRPr="0052092B" w:rsidRDefault="009B3911" w:rsidP="00703BF6">
      <w:pPr>
        <w:ind w:left="3600" w:firstLine="720"/>
        <w:jc w:val="center"/>
      </w:pPr>
      <w:r w:rsidRPr="0052092B">
        <w:t xml:space="preserve">  </w:t>
      </w:r>
      <w:r w:rsidR="003E7FED" w:rsidRPr="0052092B">
        <w:t>ž</w:t>
      </w:r>
      <w:r w:rsidR="00387834" w:rsidRPr="0052092B">
        <w:t>upan</w:t>
      </w:r>
      <w:r w:rsidR="003E7FED" w:rsidRPr="0052092B">
        <w:t xml:space="preserve"> </w:t>
      </w:r>
      <w:r w:rsidR="00387834" w:rsidRPr="0052092B">
        <w:t>Mestne občine Ptuj</w:t>
      </w:r>
    </w:p>
    <w:p w:rsidR="00387834" w:rsidRPr="0052092B" w:rsidRDefault="00387834" w:rsidP="00703BF6">
      <w:pPr>
        <w:jc w:val="center"/>
      </w:pPr>
    </w:p>
    <w:p w:rsidR="00387834" w:rsidRPr="0052092B" w:rsidRDefault="00387834" w:rsidP="00703BF6">
      <w:pPr>
        <w:rPr>
          <w:b/>
        </w:rPr>
      </w:pPr>
    </w:p>
    <w:p w:rsidR="00387834" w:rsidRPr="0052092B" w:rsidRDefault="00387834" w:rsidP="00703BF6">
      <w:pPr>
        <w:rPr>
          <w:b/>
        </w:rPr>
      </w:pPr>
    </w:p>
    <w:p w:rsidR="00387834" w:rsidRPr="0052092B" w:rsidRDefault="00387834" w:rsidP="00703BF6">
      <w:pPr>
        <w:rPr>
          <w:b/>
        </w:rPr>
      </w:pPr>
    </w:p>
    <w:p w:rsidR="00387834" w:rsidRPr="0052092B" w:rsidRDefault="00387834" w:rsidP="00703BF6">
      <w:pPr>
        <w:rPr>
          <w:b/>
        </w:rPr>
      </w:pPr>
    </w:p>
    <w:p w:rsidR="00387834" w:rsidRPr="0052092B" w:rsidRDefault="00387834" w:rsidP="00703BF6">
      <w:pPr>
        <w:rPr>
          <w:b/>
        </w:rPr>
      </w:pPr>
    </w:p>
    <w:p w:rsidR="007358BF" w:rsidRPr="0052092B" w:rsidRDefault="007358BF" w:rsidP="00703BF6">
      <w:pPr>
        <w:rPr>
          <w:b/>
        </w:rPr>
      </w:pPr>
    </w:p>
    <w:p w:rsidR="007358BF" w:rsidRPr="0052092B" w:rsidRDefault="007358BF" w:rsidP="00703BF6">
      <w:pPr>
        <w:rPr>
          <w:b/>
        </w:rPr>
      </w:pPr>
    </w:p>
    <w:p w:rsidR="007E34AA" w:rsidRPr="0052092B" w:rsidRDefault="007E34AA" w:rsidP="00703BF6">
      <w:pPr>
        <w:rPr>
          <w:b/>
        </w:rPr>
      </w:pPr>
    </w:p>
    <w:p w:rsidR="007E34AA" w:rsidRPr="0052092B" w:rsidRDefault="007E34AA" w:rsidP="00703BF6">
      <w:pPr>
        <w:rPr>
          <w:b/>
        </w:rPr>
      </w:pPr>
    </w:p>
    <w:p w:rsidR="00387834" w:rsidRPr="0052092B" w:rsidRDefault="00387834" w:rsidP="00703BF6">
      <w:r w:rsidRPr="0052092B">
        <w:t xml:space="preserve">Priloga: </w:t>
      </w:r>
    </w:p>
    <w:p w:rsidR="00590651" w:rsidRPr="0052092B" w:rsidRDefault="00387834" w:rsidP="00703BF6">
      <w:pPr>
        <w:pStyle w:val="Odstavekseznama"/>
        <w:numPr>
          <w:ilvl w:val="0"/>
          <w:numId w:val="7"/>
        </w:numPr>
      </w:pPr>
      <w:r w:rsidRPr="0052092B">
        <w:t>predlog sklepa z obrazložitvijo</w:t>
      </w:r>
      <w:r w:rsidR="000C1E72" w:rsidRPr="0052092B">
        <w:t>,</w:t>
      </w:r>
    </w:p>
    <w:p w:rsidR="00997AD5" w:rsidRPr="00152B7C" w:rsidRDefault="00997AD5" w:rsidP="00D211CA">
      <w:pPr>
        <w:pStyle w:val="Odstavekseznama"/>
        <w:numPr>
          <w:ilvl w:val="0"/>
          <w:numId w:val="7"/>
        </w:numPr>
        <w:jc w:val="both"/>
      </w:pPr>
      <w:r w:rsidRPr="00D211CA">
        <w:t>Obrazec 3: Nač</w:t>
      </w:r>
      <w:r w:rsidR="009B3911" w:rsidRPr="00D211CA">
        <w:t xml:space="preserve">rt razvojnega programa (NRP) </w:t>
      </w:r>
      <w:r w:rsidR="00217AA7" w:rsidRPr="00D211CA">
        <w:t>za projekt</w:t>
      </w:r>
      <w:r w:rsidR="009B3911" w:rsidRPr="00D211CA">
        <w:t xml:space="preserve"> </w:t>
      </w:r>
      <w:r w:rsidR="00823C14" w:rsidRPr="00152B7C">
        <w:t>»</w:t>
      </w:r>
      <w:r w:rsidR="00152B7C" w:rsidRPr="00152B7C">
        <w:t>Ureditev kolesarskih povezav v naselju Ptuj – odsek 1</w:t>
      </w:r>
      <w:r w:rsidR="00823C14" w:rsidRPr="00152B7C">
        <w:t>«</w:t>
      </w:r>
    </w:p>
    <w:p w:rsidR="00997AD5" w:rsidRPr="0052092B" w:rsidRDefault="00997AD5" w:rsidP="00703BF6">
      <w:pPr>
        <w:pStyle w:val="Odstavekseznama"/>
        <w:ind w:left="360"/>
      </w:pPr>
    </w:p>
    <w:p w:rsidR="00097307" w:rsidRPr="0052092B" w:rsidRDefault="000E42C3" w:rsidP="00703BF6">
      <w:pPr>
        <w:ind w:left="720"/>
        <w:jc w:val="right"/>
      </w:pPr>
      <w:r w:rsidRPr="0052092B">
        <w:br w:type="page"/>
      </w:r>
      <w:r w:rsidR="00097307" w:rsidRPr="0052092B">
        <w:lastRenderedPageBreak/>
        <w:t>PREDLOG</w:t>
      </w:r>
    </w:p>
    <w:p w:rsidR="00097307" w:rsidRPr="0052092B" w:rsidRDefault="00A1591B" w:rsidP="00703BF6">
      <w:pPr>
        <w:jc w:val="right"/>
      </w:pPr>
      <w:r>
        <w:t>Maj 2018</w:t>
      </w:r>
    </w:p>
    <w:p w:rsidR="00097307" w:rsidRPr="0052092B" w:rsidRDefault="00097307" w:rsidP="00703BF6"/>
    <w:p w:rsidR="00097307" w:rsidRPr="0052092B" w:rsidRDefault="00097307" w:rsidP="00703BF6">
      <w:pPr>
        <w:jc w:val="both"/>
      </w:pPr>
      <w:r w:rsidRPr="0052092B">
        <w:t xml:space="preserve">Na podlagi </w:t>
      </w:r>
      <w:r w:rsidR="004A5702">
        <w:t>prvega</w:t>
      </w:r>
      <w:r w:rsidRPr="0052092B">
        <w:t xml:space="preserve"> odstavka 8. člena Odloka o proračunu Mestne občine Ptuj za leto 201</w:t>
      </w:r>
      <w:r w:rsidR="00E267F5">
        <w:t>8</w:t>
      </w:r>
      <w:r w:rsidRPr="0052092B">
        <w:t xml:space="preserve"> (Uradni vestnik Mestne občine Ptuj, št. </w:t>
      </w:r>
      <w:r w:rsidR="00E267F5">
        <w:t>19/17</w:t>
      </w:r>
      <w:r w:rsidRPr="0052092B">
        <w:t>) in 12. člena Statuta Mestne občine Ptuj (Uradni vestnik Mestne občine Ptuj, št. 9/07) je Mestni svet Mestne občine Ptuj na ___ seji, dne ___________, sprejel naslednji</w:t>
      </w:r>
    </w:p>
    <w:p w:rsidR="00A115CA" w:rsidRPr="0052092B" w:rsidRDefault="00A115CA" w:rsidP="00703BF6">
      <w:pPr>
        <w:jc w:val="right"/>
      </w:pPr>
    </w:p>
    <w:p w:rsidR="00A115CA" w:rsidRPr="0052092B" w:rsidRDefault="00A115CA" w:rsidP="002E4596">
      <w:pPr>
        <w:jc w:val="center"/>
        <w:rPr>
          <w:b/>
          <w:caps/>
        </w:rPr>
      </w:pPr>
      <w:r w:rsidRPr="0052092B">
        <w:rPr>
          <w:b/>
          <w:caps/>
        </w:rPr>
        <w:t>Sklep</w:t>
      </w:r>
    </w:p>
    <w:p w:rsidR="00D211CA" w:rsidRDefault="00A115CA" w:rsidP="002E4596">
      <w:pPr>
        <w:pStyle w:val="Odstavekseznama"/>
        <w:ind w:left="360"/>
        <w:jc w:val="center"/>
        <w:rPr>
          <w:b/>
          <w:caps/>
        </w:rPr>
      </w:pPr>
      <w:r w:rsidRPr="0052092B">
        <w:rPr>
          <w:b/>
          <w:caps/>
        </w:rPr>
        <w:t xml:space="preserve">o </w:t>
      </w:r>
      <w:r w:rsidR="00D75085" w:rsidRPr="0052092B">
        <w:rPr>
          <w:b/>
          <w:caps/>
        </w:rPr>
        <w:t>POTRDITVI</w:t>
      </w:r>
      <w:r w:rsidR="003E7FED" w:rsidRPr="0052092B">
        <w:rPr>
          <w:b/>
          <w:caps/>
        </w:rPr>
        <w:t xml:space="preserve"> </w:t>
      </w:r>
      <w:r w:rsidR="004A5702">
        <w:rPr>
          <w:b/>
          <w:caps/>
        </w:rPr>
        <w:t xml:space="preserve">SPREMEBE </w:t>
      </w:r>
      <w:r w:rsidR="00B5283C" w:rsidRPr="0052092B">
        <w:rPr>
          <w:b/>
          <w:caps/>
        </w:rPr>
        <w:t>NAČRTA RAZVOJNEGA PROGRAMA (NRP)</w:t>
      </w:r>
      <w:r w:rsidR="002E4596">
        <w:rPr>
          <w:b/>
          <w:caps/>
        </w:rPr>
        <w:t xml:space="preserve"> </w:t>
      </w:r>
      <w:r w:rsidR="00D211CA">
        <w:rPr>
          <w:b/>
          <w:caps/>
        </w:rPr>
        <w:t xml:space="preserve"> </w:t>
      </w:r>
    </w:p>
    <w:p w:rsidR="002E4596" w:rsidRPr="00823C14" w:rsidRDefault="00152B7C" w:rsidP="002E4596">
      <w:pPr>
        <w:pStyle w:val="Odstavekseznama"/>
        <w:ind w:left="360"/>
        <w:jc w:val="center"/>
        <w:rPr>
          <w:b/>
        </w:rPr>
      </w:pPr>
      <w:r w:rsidRPr="00823C14">
        <w:rPr>
          <w:b/>
        </w:rPr>
        <w:t>»</w:t>
      </w:r>
      <w:r>
        <w:rPr>
          <w:b/>
        </w:rPr>
        <w:t>UREDITEV KOLESARSKIH POVEZAV V NASELJU PTUJ – ODSEK 1</w:t>
      </w:r>
      <w:r w:rsidRPr="00823C14">
        <w:rPr>
          <w:b/>
        </w:rPr>
        <w:t>«</w:t>
      </w:r>
    </w:p>
    <w:p w:rsidR="00B5283C" w:rsidRPr="0052092B" w:rsidRDefault="00B5283C" w:rsidP="002E4596">
      <w:pPr>
        <w:jc w:val="center"/>
        <w:rPr>
          <w:b/>
          <w:caps/>
        </w:rPr>
      </w:pPr>
    </w:p>
    <w:p w:rsidR="009B3911" w:rsidRPr="0052092B" w:rsidRDefault="009B3911" w:rsidP="00703BF6">
      <w:pPr>
        <w:jc w:val="center"/>
        <w:rPr>
          <w:b/>
          <w:caps/>
        </w:rPr>
      </w:pPr>
    </w:p>
    <w:p w:rsidR="00A115CA" w:rsidRPr="0052092B" w:rsidRDefault="00A115CA" w:rsidP="00703BF6">
      <w:pPr>
        <w:jc w:val="center"/>
        <w:rPr>
          <w:b/>
        </w:rPr>
      </w:pPr>
      <w:r w:rsidRPr="0052092B">
        <w:rPr>
          <w:b/>
        </w:rPr>
        <w:t>1.</w:t>
      </w:r>
    </w:p>
    <w:p w:rsidR="002E4596" w:rsidRPr="00152B7C" w:rsidRDefault="00A115CA" w:rsidP="009A23BD">
      <w:pPr>
        <w:jc w:val="both"/>
      </w:pPr>
      <w:r w:rsidRPr="0052092B">
        <w:t xml:space="preserve">Mestna občina Ptuj potrjuje </w:t>
      </w:r>
      <w:r w:rsidR="004A5702">
        <w:t xml:space="preserve">spremenjen </w:t>
      </w:r>
      <w:r w:rsidR="003E7FED" w:rsidRPr="0052092B">
        <w:t>Načrt</w:t>
      </w:r>
      <w:r w:rsidR="007E34AA" w:rsidRPr="0052092B">
        <w:t xml:space="preserve"> razvojnega programa (NRP</w:t>
      </w:r>
      <w:r w:rsidR="00FE6824" w:rsidRPr="0052092B">
        <w:t>)</w:t>
      </w:r>
      <w:r w:rsidR="0067001C">
        <w:t xml:space="preserve"> za projekt</w:t>
      </w:r>
      <w:r w:rsidR="00FE6824" w:rsidRPr="0052092B">
        <w:t xml:space="preserve"> </w:t>
      </w:r>
      <w:r w:rsidR="002E4596" w:rsidRPr="00152B7C">
        <w:t>»</w:t>
      </w:r>
      <w:r w:rsidR="00152B7C" w:rsidRPr="00152B7C">
        <w:t>Ureditev kolesarskih povezav v naselju Ptuj – odsek 1</w:t>
      </w:r>
      <w:r w:rsidR="002E4596" w:rsidRPr="00152B7C">
        <w:t>«</w:t>
      </w:r>
      <w:r w:rsidR="00D211CA" w:rsidRPr="00152B7C">
        <w:t>.</w:t>
      </w:r>
    </w:p>
    <w:p w:rsidR="003560AB" w:rsidRPr="0052092B" w:rsidRDefault="003560AB" w:rsidP="002E4596"/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2.</w:t>
      </w:r>
    </w:p>
    <w:p w:rsidR="00152B7C" w:rsidRPr="0050390C" w:rsidRDefault="00152B7C" w:rsidP="00152B7C">
      <w:pPr>
        <w:jc w:val="both"/>
      </w:pPr>
      <w:r w:rsidRPr="00B14718">
        <w:t xml:space="preserve">Finančna sredstva za sofinanciranje projekta bo Mestna občina Ptuj zagotovila iz </w:t>
      </w:r>
      <w:r>
        <w:t>Evropskega sklada za regionalni razvoj, Ministrstva za infrastrukturo in proračuna Mestne občine Ptuj.</w:t>
      </w:r>
    </w:p>
    <w:p w:rsidR="0067001C" w:rsidRPr="0052092B" w:rsidRDefault="0067001C" w:rsidP="00703BF6">
      <w:pPr>
        <w:jc w:val="both"/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3.</w:t>
      </w:r>
    </w:p>
    <w:p w:rsidR="00D87A41" w:rsidRPr="0052092B" w:rsidRDefault="00D87A41" w:rsidP="00703BF6">
      <w:r w:rsidRPr="0052092B">
        <w:t>Ta sklep začne veljati z dnem sprejema na Mestnem svetu Mestne občine Ptuj.</w:t>
      </w:r>
    </w:p>
    <w:p w:rsidR="00D87A41" w:rsidRPr="0052092B" w:rsidRDefault="00D87A41" w:rsidP="00703BF6">
      <w:pPr>
        <w:jc w:val="both"/>
      </w:pPr>
    </w:p>
    <w:p w:rsidR="00D87A41" w:rsidRPr="0052092B" w:rsidRDefault="00D87A41" w:rsidP="00703BF6">
      <w:pPr>
        <w:jc w:val="both"/>
      </w:pPr>
    </w:p>
    <w:p w:rsidR="002E4596" w:rsidRPr="00B14718" w:rsidRDefault="00D87A41" w:rsidP="002E4596">
      <w:r w:rsidRPr="0052092B">
        <w:t>Številka:</w:t>
      </w:r>
      <w:r w:rsidR="002E4596">
        <w:t xml:space="preserve"> </w:t>
      </w:r>
      <w:r w:rsidR="000C2334">
        <w:t>410-299/2017</w:t>
      </w:r>
    </w:p>
    <w:p w:rsidR="00D87A41" w:rsidRPr="0052092B" w:rsidRDefault="00D87A41" w:rsidP="00703BF6">
      <w:r w:rsidRPr="0052092B">
        <w:t xml:space="preserve">Datum: </w:t>
      </w:r>
    </w:p>
    <w:p w:rsidR="00D87A41" w:rsidRPr="0052092B" w:rsidRDefault="00D87A41" w:rsidP="00703BF6">
      <w:pPr>
        <w:pBdr>
          <w:bottom w:val="single" w:sz="4" w:space="1" w:color="auto"/>
        </w:pBdr>
      </w:pPr>
    </w:p>
    <w:p w:rsidR="00D87A41" w:rsidRPr="0052092B" w:rsidRDefault="00D87A41" w:rsidP="00703BF6">
      <w:pPr>
        <w:rPr>
          <w:sz w:val="16"/>
          <w:szCs w:val="16"/>
        </w:rPr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Obrazložitev:</w:t>
      </w:r>
    </w:p>
    <w:p w:rsidR="008A2406" w:rsidRPr="008A2406" w:rsidRDefault="008A2406" w:rsidP="008A2406"/>
    <w:p w:rsidR="008922B7" w:rsidRDefault="008922B7" w:rsidP="008922B7">
      <w:pPr>
        <w:jc w:val="both"/>
        <w:rPr>
          <w:i/>
        </w:rPr>
      </w:pPr>
      <w:r w:rsidRPr="00024138">
        <w:t xml:space="preserve">Združenje mestnih občin Slovenije (ZMOS), kot posredniški organ, pristojen za izvajanje celostnih teritorialnih naložb PN 4.4, je </w:t>
      </w:r>
      <w:r w:rsidR="00E267F5">
        <w:t xml:space="preserve">dne </w:t>
      </w:r>
      <w:r w:rsidRPr="00024138">
        <w:t>6.</w:t>
      </w:r>
      <w:r w:rsidR="00E267F5">
        <w:t xml:space="preserve"> </w:t>
      </w:r>
      <w:r w:rsidRPr="00024138">
        <w:t>10.</w:t>
      </w:r>
      <w:r w:rsidR="00E267F5">
        <w:t xml:space="preserve"> </w:t>
      </w:r>
      <w:r w:rsidRPr="00024138">
        <w:t xml:space="preserve">2017 objavil </w:t>
      </w:r>
      <w:r w:rsidRPr="00024138">
        <w:rPr>
          <w:b/>
        </w:rPr>
        <w:t>Javno povabilo k predložitvi vlog za sofinanciranje operacij trajnostne mobilnosti z mehanizmom CTN</w:t>
      </w:r>
      <w:r w:rsidRPr="00024138">
        <w:t xml:space="preserve"> v okviru Operativnega programa Evropske kohezijske politike za obdobje 2014 – 2020, </w:t>
      </w:r>
      <w:r w:rsidRPr="00024138">
        <w:rPr>
          <w:b/>
          <w:i/>
        </w:rPr>
        <w:t>4. prednostne osi</w:t>
      </w:r>
      <w:r w:rsidRPr="00024138">
        <w:rPr>
          <w:i/>
        </w:rPr>
        <w:t xml:space="preserve"> »Trajnostna raba in proizvodnja energije ter pametna prometna omrežja«, </w:t>
      </w:r>
      <w:r w:rsidRPr="00024138">
        <w:rPr>
          <w:b/>
          <w:i/>
        </w:rPr>
        <w:t>tematskega cilja 4</w:t>
      </w:r>
      <w:r w:rsidRPr="00024138">
        <w:rPr>
          <w:i/>
        </w:rPr>
        <w:t xml:space="preserve"> »Podpora prehodu na </w:t>
      </w:r>
      <w:proofErr w:type="spellStart"/>
      <w:r w:rsidRPr="00024138">
        <w:rPr>
          <w:i/>
        </w:rPr>
        <w:t>nizkoogljično</w:t>
      </w:r>
      <w:proofErr w:type="spellEnd"/>
      <w:r w:rsidRPr="00024138">
        <w:rPr>
          <w:i/>
        </w:rPr>
        <w:t xml:space="preserve"> gospodarstvo v vseh sektorjih«, </w:t>
      </w:r>
      <w:r w:rsidRPr="00024138">
        <w:rPr>
          <w:b/>
          <w:i/>
        </w:rPr>
        <w:t>prednostne naložbe 4.4</w:t>
      </w:r>
      <w:r w:rsidRPr="00024138">
        <w:rPr>
          <w:i/>
        </w:rPr>
        <w:t xml:space="preserve"> »Spodbujanje </w:t>
      </w:r>
      <w:proofErr w:type="spellStart"/>
      <w:r w:rsidRPr="00024138">
        <w:rPr>
          <w:i/>
        </w:rPr>
        <w:t>nizkoogljičnih</w:t>
      </w:r>
      <w:proofErr w:type="spellEnd"/>
      <w:r w:rsidRPr="00024138">
        <w:rPr>
          <w:i/>
        </w:rPr>
        <w:t xml:space="preserve"> strategij za vse vrste območij, zlasti za urbana območja, vključno s spodbujanjem trajnostne </w:t>
      </w:r>
      <w:proofErr w:type="spellStart"/>
      <w:r w:rsidRPr="00024138">
        <w:rPr>
          <w:i/>
        </w:rPr>
        <w:t>multimodalne</w:t>
      </w:r>
      <w:proofErr w:type="spellEnd"/>
      <w:r w:rsidRPr="00024138">
        <w:rPr>
          <w:i/>
        </w:rPr>
        <w:t xml:space="preserve"> urbane mobilnosti in ustreznim</w:t>
      </w:r>
      <w:r>
        <w:rPr>
          <w:i/>
        </w:rPr>
        <w:t>i omilitvenimi ukrepi« (PN 4.4)</w:t>
      </w:r>
      <w:r w:rsidRPr="00024138">
        <w:rPr>
          <w:i/>
        </w:rPr>
        <w:t xml:space="preserve">. </w:t>
      </w:r>
    </w:p>
    <w:p w:rsidR="008922B7" w:rsidRPr="00E92F69" w:rsidRDefault="008922B7" w:rsidP="008922B7">
      <w:pPr>
        <w:jc w:val="both"/>
        <w:rPr>
          <w:b/>
          <w:sz w:val="28"/>
          <w:szCs w:val="28"/>
        </w:rPr>
      </w:pPr>
    </w:p>
    <w:p w:rsidR="008922B7" w:rsidRPr="00024138" w:rsidRDefault="008922B7" w:rsidP="008922B7">
      <w:pPr>
        <w:jc w:val="both"/>
        <w:rPr>
          <w:b/>
          <w:sz w:val="28"/>
          <w:szCs w:val="28"/>
        </w:rPr>
      </w:pPr>
      <w:r w:rsidRPr="00024138">
        <w:t xml:space="preserve">Mestna občina Ptuj </w:t>
      </w:r>
      <w:r>
        <w:t>je na</w:t>
      </w:r>
      <w:r w:rsidRPr="00024138">
        <w:t xml:space="preserve"> javno povabilo prijavila projekt </w:t>
      </w:r>
      <w:r w:rsidRPr="00024138">
        <w:rPr>
          <w:b/>
        </w:rPr>
        <w:t>Ureditev kolesarskih povezav v naselju Ptuj - Odsek 1</w:t>
      </w:r>
      <w:r w:rsidRPr="00024138">
        <w:t xml:space="preserve">, ki je skladen s pogoji povabila in prispeva k ciljem in kazalnikom Operativnega programa, Trajnostne urbane strategije Mestne občine Ptuj in Celostne prometne strategije Mestne občine Ptuj. </w:t>
      </w:r>
      <w:r>
        <w:t>Za prijavo na 2. fazo, ki jo vodi Ministrstvo za infrastrukturo, je bila potrebna priprava  projektne dokumentacije, ki pa je pokazala povišanje vrednosti investicije za več kot 20</w:t>
      </w:r>
      <w:r w:rsidR="00E267F5">
        <w:t xml:space="preserve"> </w:t>
      </w:r>
      <w:r>
        <w:t xml:space="preserve">% in potrebo po nekaterih vsebinskih spremembah projekta. Skladno s 6. členom Uredbe o enotni metodologiji za pripravo in obravnavo investicijske dokumentacije na področju javnih financ je za takšne spremembe potrebno pripraviti </w:t>
      </w:r>
      <w:proofErr w:type="spellStart"/>
      <w:r>
        <w:t>novelacijo</w:t>
      </w:r>
      <w:proofErr w:type="spellEnd"/>
      <w:r>
        <w:t xml:space="preserve"> investicijskega dokumenta.</w:t>
      </w:r>
    </w:p>
    <w:p w:rsidR="008A2406" w:rsidRPr="008A2406" w:rsidRDefault="008A2406" w:rsidP="008A2406">
      <w:pPr>
        <w:jc w:val="both"/>
      </w:pPr>
    </w:p>
    <w:p w:rsidR="008A2406" w:rsidRPr="008A2406" w:rsidRDefault="008A2406" w:rsidP="008A2406">
      <w:pPr>
        <w:jc w:val="both"/>
      </w:pPr>
      <w:r w:rsidRPr="008A2406">
        <w:lastRenderedPageBreak/>
        <w:t>Mestna občina Ptuj v sklopu projekta Ureditev kolesarskih povezav v naselju Ptuj</w:t>
      </w:r>
      <w:r w:rsidR="00E267F5">
        <w:t xml:space="preserve"> </w:t>
      </w:r>
      <w:r w:rsidRPr="008A2406">
        <w:t>-</w:t>
      </w:r>
      <w:r w:rsidR="00E267F5">
        <w:t xml:space="preserve"> </w:t>
      </w:r>
      <w:r w:rsidRPr="008A2406">
        <w:t>odsek 1 načrtuje ureditev kolesarske povezave in vzpostavitev sistema za izposojo koles ob urejeni kolesarski povezavi.</w:t>
      </w:r>
    </w:p>
    <w:p w:rsidR="008A2406" w:rsidRPr="008A2406" w:rsidRDefault="008A2406" w:rsidP="008A2406">
      <w:pPr>
        <w:jc w:val="both"/>
      </w:pPr>
    </w:p>
    <w:p w:rsidR="00D2022F" w:rsidRPr="00DC702F" w:rsidRDefault="00D2022F" w:rsidP="00D2022F">
      <w:pPr>
        <w:spacing w:after="120" w:line="276" w:lineRule="auto"/>
      </w:pPr>
      <w:r w:rsidRPr="00DC702F">
        <w:t>Kolesarska povezava v skupni dolžini 2</w:t>
      </w:r>
      <w:bookmarkStart w:id="0" w:name="_GoBack"/>
      <w:bookmarkEnd w:id="0"/>
      <w:r>
        <w:t>543</w:t>
      </w:r>
      <w:r w:rsidRPr="00DC702F">
        <w:t xml:space="preserve"> m poteka na trasi :</w:t>
      </w:r>
    </w:p>
    <w:p w:rsidR="00D2022F" w:rsidRPr="00393578" w:rsidRDefault="00D2022F" w:rsidP="00D2022F">
      <w:pPr>
        <w:spacing w:line="276" w:lineRule="auto"/>
        <w:jc w:val="both"/>
      </w:pPr>
      <w:r w:rsidRPr="00393578">
        <w:t>1. Zadružni trg – Mestna hiša</w:t>
      </w:r>
    </w:p>
    <w:p w:rsidR="00D2022F" w:rsidRPr="00393578" w:rsidRDefault="00D2022F" w:rsidP="00D2022F">
      <w:pPr>
        <w:spacing w:line="276" w:lineRule="auto"/>
        <w:jc w:val="both"/>
      </w:pPr>
      <w:r w:rsidRPr="00393578">
        <w:t xml:space="preserve">2. Mestna hiša – </w:t>
      </w:r>
      <w:r>
        <w:t>Rimska peč</w:t>
      </w:r>
    </w:p>
    <w:p w:rsidR="00D2022F" w:rsidRPr="00393578" w:rsidRDefault="00D2022F" w:rsidP="00D2022F">
      <w:pPr>
        <w:spacing w:line="276" w:lineRule="auto"/>
        <w:jc w:val="both"/>
      </w:pPr>
      <w:r w:rsidRPr="00393578">
        <w:t xml:space="preserve">3. Gimnazija Ptuj – </w:t>
      </w:r>
      <w:r>
        <w:t>Splošna bolnišnica</w:t>
      </w:r>
      <w:r w:rsidRPr="00393578">
        <w:t xml:space="preserve"> Ptuj</w:t>
      </w:r>
    </w:p>
    <w:p w:rsidR="00D2022F" w:rsidRDefault="00D2022F" w:rsidP="00D2022F">
      <w:pPr>
        <w:spacing w:after="120" w:line="276" w:lineRule="auto"/>
        <w:rPr>
          <w:sz w:val="22"/>
          <w:szCs w:val="22"/>
        </w:rPr>
      </w:pPr>
    </w:p>
    <w:p w:rsidR="00D2022F" w:rsidRPr="00DC702F" w:rsidRDefault="00D2022F" w:rsidP="00D2022F">
      <w:pPr>
        <w:spacing w:after="120" w:line="276" w:lineRule="auto"/>
        <w:jc w:val="both"/>
      </w:pPr>
      <w:r w:rsidRPr="00DC702F">
        <w:t>Predvidene lokacije postaj za izposojo koles (postaja bo imela</w:t>
      </w:r>
      <w:r>
        <w:t xml:space="preserve"> osem priklopnih mest s petimi</w:t>
      </w:r>
      <w:r w:rsidRPr="00DC702F">
        <w:t xml:space="preserve"> kolesi):</w:t>
      </w:r>
    </w:p>
    <w:p w:rsidR="00D2022F" w:rsidRPr="00DC702F" w:rsidRDefault="00D2022F" w:rsidP="00D2022F">
      <w:pPr>
        <w:pStyle w:val="Odstavekseznama"/>
        <w:numPr>
          <w:ilvl w:val="0"/>
          <w:numId w:val="9"/>
        </w:numPr>
        <w:spacing w:after="120" w:line="276" w:lineRule="auto"/>
        <w:contextualSpacing/>
        <w:jc w:val="both"/>
        <w:rPr>
          <w:szCs w:val="24"/>
        </w:rPr>
      </w:pPr>
      <w:r>
        <w:rPr>
          <w:szCs w:val="24"/>
        </w:rPr>
        <w:t>Zadružni trg (na parkirišču</w:t>
      </w:r>
      <w:r w:rsidRPr="00DC702F">
        <w:rPr>
          <w:szCs w:val="24"/>
        </w:rPr>
        <w:t xml:space="preserve"> P&amp;R</w:t>
      </w:r>
      <w:r>
        <w:rPr>
          <w:szCs w:val="24"/>
        </w:rPr>
        <w:t>)</w:t>
      </w:r>
    </w:p>
    <w:p w:rsidR="00D2022F" w:rsidRPr="00DC702F" w:rsidRDefault="00D2022F" w:rsidP="00D2022F">
      <w:pPr>
        <w:pStyle w:val="Odstavekseznama"/>
        <w:numPr>
          <w:ilvl w:val="0"/>
          <w:numId w:val="9"/>
        </w:numPr>
        <w:spacing w:after="120" w:line="276" w:lineRule="auto"/>
        <w:contextualSpacing/>
        <w:jc w:val="both"/>
        <w:rPr>
          <w:szCs w:val="24"/>
        </w:rPr>
      </w:pPr>
      <w:r w:rsidRPr="00DC702F">
        <w:rPr>
          <w:szCs w:val="24"/>
        </w:rPr>
        <w:t>Mestni trg</w:t>
      </w:r>
      <w:r>
        <w:rPr>
          <w:szCs w:val="24"/>
        </w:rPr>
        <w:t xml:space="preserve">  (pri Mestni hiši)</w:t>
      </w:r>
    </w:p>
    <w:p w:rsidR="00D2022F" w:rsidRPr="00530BD8" w:rsidRDefault="00D2022F" w:rsidP="00D2022F">
      <w:pPr>
        <w:pStyle w:val="Odstavekseznama"/>
        <w:numPr>
          <w:ilvl w:val="0"/>
          <w:numId w:val="9"/>
        </w:numPr>
        <w:spacing w:after="120" w:line="276" w:lineRule="auto"/>
        <w:contextualSpacing/>
        <w:jc w:val="both"/>
        <w:rPr>
          <w:szCs w:val="24"/>
        </w:rPr>
      </w:pPr>
      <w:r w:rsidRPr="00530BD8">
        <w:rPr>
          <w:szCs w:val="24"/>
        </w:rPr>
        <w:t>Kraigherjeva ulica (pri Rimski peči)</w:t>
      </w:r>
    </w:p>
    <w:p w:rsidR="00D2022F" w:rsidRPr="00DC702F" w:rsidRDefault="00D2022F" w:rsidP="00D2022F">
      <w:pPr>
        <w:pStyle w:val="Odstavekseznama"/>
        <w:numPr>
          <w:ilvl w:val="0"/>
          <w:numId w:val="9"/>
        </w:numPr>
        <w:spacing w:after="120" w:line="276" w:lineRule="auto"/>
        <w:contextualSpacing/>
        <w:jc w:val="both"/>
        <w:rPr>
          <w:szCs w:val="24"/>
        </w:rPr>
      </w:pPr>
      <w:r>
        <w:rPr>
          <w:szCs w:val="24"/>
        </w:rPr>
        <w:t>Potrčeva cesta (pri Splošni bolnišn</w:t>
      </w:r>
      <w:r w:rsidRPr="00DC702F">
        <w:rPr>
          <w:szCs w:val="24"/>
        </w:rPr>
        <w:t>i</w:t>
      </w:r>
      <w:r>
        <w:rPr>
          <w:szCs w:val="24"/>
        </w:rPr>
        <w:t>ci</w:t>
      </w:r>
      <w:r w:rsidRPr="00DC702F">
        <w:rPr>
          <w:szCs w:val="24"/>
        </w:rPr>
        <w:t xml:space="preserve"> Ptuj</w:t>
      </w:r>
      <w:r>
        <w:rPr>
          <w:szCs w:val="24"/>
        </w:rPr>
        <w:t>)</w:t>
      </w:r>
    </w:p>
    <w:p w:rsidR="00D2022F" w:rsidRDefault="00D2022F" w:rsidP="00D2022F">
      <w:pPr>
        <w:jc w:val="both"/>
      </w:pPr>
    </w:p>
    <w:p w:rsidR="00D2022F" w:rsidRPr="00EE5B57" w:rsidRDefault="00D2022F" w:rsidP="00D2022F">
      <w:pPr>
        <w:jc w:val="both"/>
        <w:rPr>
          <w:b/>
        </w:rPr>
      </w:pPr>
      <w:r w:rsidRPr="00EE5B57">
        <w:rPr>
          <w:b/>
        </w:rPr>
        <w:t xml:space="preserve">Viri financiranja projekta v </w:t>
      </w:r>
      <w:r>
        <w:rPr>
          <w:b/>
        </w:rPr>
        <w:t>letu 2018</w:t>
      </w:r>
    </w:p>
    <w:p w:rsidR="00D2022F" w:rsidRPr="00C8485C" w:rsidRDefault="00D2022F" w:rsidP="00D2022F">
      <w:pPr>
        <w:jc w:val="both"/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416"/>
        <w:gridCol w:w="1559"/>
        <w:gridCol w:w="1560"/>
        <w:gridCol w:w="1842"/>
      </w:tblGrid>
      <w:tr w:rsidR="00D2022F" w:rsidRPr="00F21DB1" w:rsidTr="00F94521">
        <w:trPr>
          <w:trHeight w:val="525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Delež</w:t>
            </w:r>
          </w:p>
        </w:tc>
      </w:tr>
      <w:tr w:rsidR="00D2022F" w:rsidRPr="00F21DB1" w:rsidTr="00F94521">
        <w:trPr>
          <w:trHeight w:val="4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144.023,11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144.023,11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34,43</w:t>
            </w:r>
          </w:p>
        </w:tc>
      </w:tr>
      <w:tr w:rsidR="00D2022F" w:rsidRPr="00F21DB1" w:rsidTr="00F94521">
        <w:trPr>
          <w:trHeight w:val="48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EU - ESRR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219.463,79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219.463,79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52,46</w:t>
            </w:r>
          </w:p>
        </w:tc>
      </w:tr>
      <w:tr w:rsidR="00D2022F" w:rsidRPr="00F21DB1" w:rsidTr="00F94521">
        <w:trPr>
          <w:trHeight w:val="45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MINISTRSTVO ZA INFRASTRUKTURO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54.865,95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022F" w:rsidRPr="00F21DB1" w:rsidRDefault="00D2022F" w:rsidP="00F94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54.865,95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13,11</w:t>
            </w:r>
          </w:p>
        </w:tc>
      </w:tr>
      <w:tr w:rsidR="00D2022F" w:rsidRPr="00F21DB1" w:rsidTr="00F94521">
        <w:trPr>
          <w:trHeight w:val="43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2022F" w:rsidRPr="00F21DB1" w:rsidRDefault="00D2022F" w:rsidP="00F94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2022F" w:rsidRPr="00F21DB1" w:rsidRDefault="00D2022F" w:rsidP="00F94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418.352,85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2022F" w:rsidRPr="00F21DB1" w:rsidRDefault="00D2022F" w:rsidP="00F945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418.352,85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D2022F" w:rsidRPr="00F21DB1" w:rsidRDefault="00D2022F" w:rsidP="00F945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:rsidR="00D2022F" w:rsidRDefault="00D2022F" w:rsidP="00D2022F">
      <w:pPr>
        <w:jc w:val="both"/>
        <w:rPr>
          <w:highlight w:val="yellow"/>
        </w:rPr>
      </w:pPr>
    </w:p>
    <w:p w:rsidR="00D2022F" w:rsidRDefault="00D2022F" w:rsidP="00D2022F">
      <w:pPr>
        <w:jc w:val="both"/>
      </w:pPr>
      <w:r w:rsidRPr="009F07F6">
        <w:t>Sredstva za izvedbo pr</w:t>
      </w:r>
      <w:r>
        <w:t>ojekta so</w:t>
      </w:r>
      <w:r w:rsidRPr="009F07F6">
        <w:t xml:space="preserve"> zagotovlj</w:t>
      </w:r>
      <w:r>
        <w:t>ena na proračunski postavki 6561</w:t>
      </w:r>
      <w:r w:rsidRPr="0068264A">
        <w:rPr>
          <w:b/>
        </w:rPr>
        <w:t xml:space="preserve"> </w:t>
      </w:r>
      <w:r>
        <w:rPr>
          <w:b/>
        </w:rPr>
        <w:t>Ureditev kolesarskih povezav v naselju Ptuj – odsek 1</w:t>
      </w:r>
      <w:r>
        <w:t>.</w:t>
      </w:r>
    </w:p>
    <w:p w:rsidR="004A5702" w:rsidRDefault="004A5702" w:rsidP="004A5702">
      <w:pPr>
        <w:jc w:val="both"/>
      </w:pPr>
    </w:p>
    <w:p w:rsidR="004A5702" w:rsidRDefault="004A5702" w:rsidP="004A5702">
      <w:pPr>
        <w:jc w:val="both"/>
      </w:pPr>
      <w:r w:rsidRPr="0052092B">
        <w:t>Odlok o proračunu</w:t>
      </w:r>
      <w:r w:rsidR="00D2022F">
        <w:t xml:space="preserve"> Mestne občine Ptuj za leto 2018</w:t>
      </w:r>
      <w:r w:rsidRPr="0052092B">
        <w:t xml:space="preserve"> v prvem odstavku 8. člena določa, da lahko župan spreminja vrednost projektov v načrtu razvojnih programov. Projekte, katerih vrednost se spremeni za več kot 15 % mora predhodno potrditi me</w:t>
      </w:r>
      <w:r w:rsidR="00B410BB">
        <w:t xml:space="preserve">stni svet. V projektu se </w:t>
      </w:r>
      <w:r>
        <w:t xml:space="preserve">spreminja </w:t>
      </w:r>
      <w:r w:rsidR="00B410BB">
        <w:t xml:space="preserve">skupna vrednost projekta in </w:t>
      </w:r>
      <w:r w:rsidR="00D2022F">
        <w:t>viri financiranja.</w:t>
      </w:r>
    </w:p>
    <w:p w:rsidR="008A2406" w:rsidRPr="008A2406" w:rsidRDefault="008A2406" w:rsidP="008A2406">
      <w:pPr>
        <w:jc w:val="both"/>
      </w:pPr>
    </w:p>
    <w:p w:rsidR="008A2406" w:rsidRPr="008A2406" w:rsidRDefault="008A2406" w:rsidP="008A2406">
      <w:pPr>
        <w:jc w:val="both"/>
      </w:pPr>
      <w:r w:rsidRPr="008A2406">
        <w:t>Na podlagi navedenega Mestnemu svetu Mestne občine Ptuj predlagam, da predloženi dokument obravnava in sprejme predlagani sklep.</w:t>
      </w:r>
    </w:p>
    <w:p w:rsidR="00152B7C" w:rsidRDefault="00152B7C" w:rsidP="00703BF6">
      <w:pPr>
        <w:jc w:val="both"/>
      </w:pPr>
    </w:p>
    <w:p w:rsidR="00D87A41" w:rsidRPr="0052092B" w:rsidRDefault="00D87A41" w:rsidP="00703BF6">
      <w:pPr>
        <w:jc w:val="both"/>
        <w:rPr>
          <w:b/>
        </w:rPr>
      </w:pPr>
      <w:r w:rsidRPr="0052092B">
        <w:t>Pripravila:</w:t>
      </w:r>
      <w:r w:rsidR="00D211CA">
        <w:rPr>
          <w:b/>
        </w:rPr>
        <w:tab/>
      </w:r>
      <w:r w:rsidR="00D211CA">
        <w:rPr>
          <w:b/>
        </w:rPr>
        <w:tab/>
      </w:r>
      <w:r w:rsidR="00D211CA">
        <w:rPr>
          <w:b/>
        </w:rPr>
        <w:tab/>
      </w:r>
      <w:r w:rsidR="00D211CA">
        <w:rPr>
          <w:b/>
        </w:rPr>
        <w:tab/>
      </w:r>
      <w:r w:rsidR="00D211CA">
        <w:rPr>
          <w:b/>
        </w:rPr>
        <w:tab/>
      </w:r>
      <w:r w:rsidR="00D211CA">
        <w:rPr>
          <w:b/>
        </w:rPr>
        <w:tab/>
      </w:r>
      <w:r w:rsidR="00D211CA">
        <w:rPr>
          <w:b/>
        </w:rPr>
        <w:tab/>
      </w:r>
      <w:r w:rsidR="00D211CA">
        <w:rPr>
          <w:b/>
        </w:rPr>
        <w:tab/>
        <w:t xml:space="preserve">   </w:t>
      </w:r>
      <w:r w:rsidRPr="0052092B">
        <w:rPr>
          <w:b/>
        </w:rPr>
        <w:t>Miran S</w:t>
      </w:r>
      <w:r w:rsidR="00703BF6" w:rsidRPr="0052092B">
        <w:rPr>
          <w:b/>
        </w:rPr>
        <w:t>ENČAR</w:t>
      </w:r>
      <w:r w:rsidRPr="0052092B">
        <w:rPr>
          <w:b/>
        </w:rPr>
        <w:t>,</w:t>
      </w:r>
    </w:p>
    <w:p w:rsidR="00D87A41" w:rsidRPr="004E3B2D" w:rsidRDefault="007436C8" w:rsidP="00703BF6">
      <w:pPr>
        <w:jc w:val="both"/>
        <w:rPr>
          <w:b/>
        </w:rPr>
      </w:pPr>
      <w:r>
        <w:t>Tina Zamuda</w:t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>
        <w:t xml:space="preserve">         </w:t>
      </w:r>
      <w:r w:rsidR="00D87A41" w:rsidRPr="0052092B">
        <w:rPr>
          <w:b/>
        </w:rPr>
        <w:t>župan Mestne občine Ptuj</w:t>
      </w:r>
    </w:p>
    <w:p w:rsidR="00D87A41" w:rsidRPr="00136704" w:rsidRDefault="00D87A41" w:rsidP="00703BF6">
      <w:pPr>
        <w:jc w:val="both"/>
        <w:rPr>
          <w:b/>
        </w:rPr>
      </w:pPr>
    </w:p>
    <w:sectPr w:rsidR="00D87A41" w:rsidRPr="00136704" w:rsidSect="006D3DCC"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0B" w:rsidRDefault="005B200B">
      <w:r>
        <w:separator/>
      </w:r>
    </w:p>
  </w:endnote>
  <w:endnote w:type="continuationSeparator" w:id="0">
    <w:p w:rsidR="005B200B" w:rsidRDefault="005B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0B" w:rsidRDefault="005B200B">
      <w:r>
        <w:separator/>
      </w:r>
    </w:p>
  </w:footnote>
  <w:footnote w:type="continuationSeparator" w:id="0">
    <w:p w:rsidR="005B200B" w:rsidRDefault="005B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3"/>
      <w:gridCol w:w="6231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6D3DCC">
          <w:pPr>
            <w:pStyle w:val="Glava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00050"/>
    <w:multiLevelType w:val="hybridMultilevel"/>
    <w:tmpl w:val="6194E530"/>
    <w:lvl w:ilvl="0" w:tplc="E78EC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54E5"/>
    <w:multiLevelType w:val="hybridMultilevel"/>
    <w:tmpl w:val="1C065CA2"/>
    <w:lvl w:ilvl="0" w:tplc="DB26F9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37924"/>
    <w:rsid w:val="00046752"/>
    <w:rsid w:val="000544C1"/>
    <w:rsid w:val="00054B0C"/>
    <w:rsid w:val="000560DD"/>
    <w:rsid w:val="0007513B"/>
    <w:rsid w:val="00085317"/>
    <w:rsid w:val="00094385"/>
    <w:rsid w:val="00097029"/>
    <w:rsid w:val="00097307"/>
    <w:rsid w:val="000C1E72"/>
    <w:rsid w:val="000C2334"/>
    <w:rsid w:val="000C4106"/>
    <w:rsid w:val="000D6253"/>
    <w:rsid w:val="000E3F5F"/>
    <w:rsid w:val="000E42C3"/>
    <w:rsid w:val="000F0493"/>
    <w:rsid w:val="000F2984"/>
    <w:rsid w:val="00105339"/>
    <w:rsid w:val="00122378"/>
    <w:rsid w:val="001225E9"/>
    <w:rsid w:val="001235D0"/>
    <w:rsid w:val="00136704"/>
    <w:rsid w:val="0014287A"/>
    <w:rsid w:val="0014457D"/>
    <w:rsid w:val="00152B7C"/>
    <w:rsid w:val="00161F10"/>
    <w:rsid w:val="00162D3E"/>
    <w:rsid w:val="00174A7E"/>
    <w:rsid w:val="00175930"/>
    <w:rsid w:val="00177755"/>
    <w:rsid w:val="00181AD2"/>
    <w:rsid w:val="00194894"/>
    <w:rsid w:val="0019517D"/>
    <w:rsid w:val="001B5A8F"/>
    <w:rsid w:val="001C0EC7"/>
    <w:rsid w:val="001D32E4"/>
    <w:rsid w:val="001E246C"/>
    <w:rsid w:val="001E6B9C"/>
    <w:rsid w:val="001F2DE3"/>
    <w:rsid w:val="00203B6D"/>
    <w:rsid w:val="002043ED"/>
    <w:rsid w:val="00217AA7"/>
    <w:rsid w:val="00223A8A"/>
    <w:rsid w:val="00227047"/>
    <w:rsid w:val="002349EE"/>
    <w:rsid w:val="00242B7A"/>
    <w:rsid w:val="002550D0"/>
    <w:rsid w:val="00257031"/>
    <w:rsid w:val="002611D3"/>
    <w:rsid w:val="002639D8"/>
    <w:rsid w:val="002669DE"/>
    <w:rsid w:val="00266B26"/>
    <w:rsid w:val="002726F4"/>
    <w:rsid w:val="002C7616"/>
    <w:rsid w:val="002E4596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810A7"/>
    <w:rsid w:val="00387834"/>
    <w:rsid w:val="00396438"/>
    <w:rsid w:val="003B0D4B"/>
    <w:rsid w:val="003B18A0"/>
    <w:rsid w:val="003C4A3B"/>
    <w:rsid w:val="003D185D"/>
    <w:rsid w:val="003E7FED"/>
    <w:rsid w:val="0041370A"/>
    <w:rsid w:val="0043041D"/>
    <w:rsid w:val="004374BD"/>
    <w:rsid w:val="00460C93"/>
    <w:rsid w:val="004632D1"/>
    <w:rsid w:val="004653CD"/>
    <w:rsid w:val="00487DF4"/>
    <w:rsid w:val="00492CE7"/>
    <w:rsid w:val="004948CB"/>
    <w:rsid w:val="004A5702"/>
    <w:rsid w:val="004A6E70"/>
    <w:rsid w:val="004B340B"/>
    <w:rsid w:val="004B5193"/>
    <w:rsid w:val="004C1AA7"/>
    <w:rsid w:val="004E07B1"/>
    <w:rsid w:val="004E368E"/>
    <w:rsid w:val="004F5251"/>
    <w:rsid w:val="004F6500"/>
    <w:rsid w:val="004F71C3"/>
    <w:rsid w:val="00506F2F"/>
    <w:rsid w:val="005107D2"/>
    <w:rsid w:val="005156DD"/>
    <w:rsid w:val="0052092B"/>
    <w:rsid w:val="005268DA"/>
    <w:rsid w:val="00542613"/>
    <w:rsid w:val="00550D51"/>
    <w:rsid w:val="00552CBD"/>
    <w:rsid w:val="00553F16"/>
    <w:rsid w:val="00575584"/>
    <w:rsid w:val="005856EC"/>
    <w:rsid w:val="005873FD"/>
    <w:rsid w:val="00590651"/>
    <w:rsid w:val="00590C9A"/>
    <w:rsid w:val="00594126"/>
    <w:rsid w:val="005A6480"/>
    <w:rsid w:val="005B200B"/>
    <w:rsid w:val="005B2DE6"/>
    <w:rsid w:val="005B66F0"/>
    <w:rsid w:val="005D6B9A"/>
    <w:rsid w:val="005D728C"/>
    <w:rsid w:val="005E2CED"/>
    <w:rsid w:val="005E527D"/>
    <w:rsid w:val="005E592B"/>
    <w:rsid w:val="005F2BEC"/>
    <w:rsid w:val="00600C9C"/>
    <w:rsid w:val="00611E0D"/>
    <w:rsid w:val="0061559A"/>
    <w:rsid w:val="006225BF"/>
    <w:rsid w:val="00627009"/>
    <w:rsid w:val="00637998"/>
    <w:rsid w:val="0066495D"/>
    <w:rsid w:val="0067001C"/>
    <w:rsid w:val="00670FFD"/>
    <w:rsid w:val="006766B5"/>
    <w:rsid w:val="006839E2"/>
    <w:rsid w:val="0069113E"/>
    <w:rsid w:val="006913F2"/>
    <w:rsid w:val="00693846"/>
    <w:rsid w:val="006A0503"/>
    <w:rsid w:val="006A5C07"/>
    <w:rsid w:val="006A6CFD"/>
    <w:rsid w:val="006B6268"/>
    <w:rsid w:val="006C2349"/>
    <w:rsid w:val="006D07AB"/>
    <w:rsid w:val="006D3188"/>
    <w:rsid w:val="006D3DCC"/>
    <w:rsid w:val="006E2A00"/>
    <w:rsid w:val="006E734E"/>
    <w:rsid w:val="006F3BB7"/>
    <w:rsid w:val="006F7ADD"/>
    <w:rsid w:val="00701425"/>
    <w:rsid w:val="00703BF6"/>
    <w:rsid w:val="00705D2D"/>
    <w:rsid w:val="007067CB"/>
    <w:rsid w:val="00710694"/>
    <w:rsid w:val="00733A9D"/>
    <w:rsid w:val="00733C03"/>
    <w:rsid w:val="00734465"/>
    <w:rsid w:val="00735585"/>
    <w:rsid w:val="007358BF"/>
    <w:rsid w:val="007436C8"/>
    <w:rsid w:val="00753E9F"/>
    <w:rsid w:val="00766124"/>
    <w:rsid w:val="00766F3E"/>
    <w:rsid w:val="00793A88"/>
    <w:rsid w:val="00795E84"/>
    <w:rsid w:val="007B1FC8"/>
    <w:rsid w:val="007C2F2C"/>
    <w:rsid w:val="007E34AA"/>
    <w:rsid w:val="007E3519"/>
    <w:rsid w:val="007E50AA"/>
    <w:rsid w:val="007E6B04"/>
    <w:rsid w:val="007F02B6"/>
    <w:rsid w:val="00811E6B"/>
    <w:rsid w:val="008134F6"/>
    <w:rsid w:val="00820D01"/>
    <w:rsid w:val="00820E31"/>
    <w:rsid w:val="00823C14"/>
    <w:rsid w:val="0082485C"/>
    <w:rsid w:val="00825CE4"/>
    <w:rsid w:val="00826685"/>
    <w:rsid w:val="00833AE7"/>
    <w:rsid w:val="00840B74"/>
    <w:rsid w:val="00840C2F"/>
    <w:rsid w:val="00846DF2"/>
    <w:rsid w:val="00851636"/>
    <w:rsid w:val="00852A3C"/>
    <w:rsid w:val="00854D79"/>
    <w:rsid w:val="00855B35"/>
    <w:rsid w:val="00877A10"/>
    <w:rsid w:val="008821B8"/>
    <w:rsid w:val="008922B7"/>
    <w:rsid w:val="00892492"/>
    <w:rsid w:val="008A2406"/>
    <w:rsid w:val="008A48D0"/>
    <w:rsid w:val="008A57C6"/>
    <w:rsid w:val="008A6166"/>
    <w:rsid w:val="008B2761"/>
    <w:rsid w:val="008B71E2"/>
    <w:rsid w:val="008C7258"/>
    <w:rsid w:val="008C7A1B"/>
    <w:rsid w:val="008D536A"/>
    <w:rsid w:val="008F760E"/>
    <w:rsid w:val="008F78CE"/>
    <w:rsid w:val="00904FD3"/>
    <w:rsid w:val="00905FE3"/>
    <w:rsid w:val="00914C7E"/>
    <w:rsid w:val="0091762E"/>
    <w:rsid w:val="00950060"/>
    <w:rsid w:val="00952ABA"/>
    <w:rsid w:val="00955A88"/>
    <w:rsid w:val="009571F5"/>
    <w:rsid w:val="00964897"/>
    <w:rsid w:val="00965D9F"/>
    <w:rsid w:val="00967143"/>
    <w:rsid w:val="009674BD"/>
    <w:rsid w:val="009768AF"/>
    <w:rsid w:val="00997AD5"/>
    <w:rsid w:val="009A23BD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A115CA"/>
    <w:rsid w:val="00A12866"/>
    <w:rsid w:val="00A1591B"/>
    <w:rsid w:val="00A17D4A"/>
    <w:rsid w:val="00A30CDE"/>
    <w:rsid w:val="00A3359B"/>
    <w:rsid w:val="00A33CE3"/>
    <w:rsid w:val="00A37610"/>
    <w:rsid w:val="00A3799E"/>
    <w:rsid w:val="00A453E5"/>
    <w:rsid w:val="00A45D5F"/>
    <w:rsid w:val="00A533EB"/>
    <w:rsid w:val="00A71A96"/>
    <w:rsid w:val="00A77EE9"/>
    <w:rsid w:val="00A8186A"/>
    <w:rsid w:val="00A958EA"/>
    <w:rsid w:val="00AA0776"/>
    <w:rsid w:val="00AA192A"/>
    <w:rsid w:val="00AA1F51"/>
    <w:rsid w:val="00AC2784"/>
    <w:rsid w:val="00AD194A"/>
    <w:rsid w:val="00AE0886"/>
    <w:rsid w:val="00AE2CFF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410BB"/>
    <w:rsid w:val="00B5283C"/>
    <w:rsid w:val="00B564E3"/>
    <w:rsid w:val="00B61013"/>
    <w:rsid w:val="00B62B90"/>
    <w:rsid w:val="00B71195"/>
    <w:rsid w:val="00B93F44"/>
    <w:rsid w:val="00BA21D2"/>
    <w:rsid w:val="00BC6813"/>
    <w:rsid w:val="00BD4B4D"/>
    <w:rsid w:val="00BD7797"/>
    <w:rsid w:val="00BE4610"/>
    <w:rsid w:val="00BF62D0"/>
    <w:rsid w:val="00C0275B"/>
    <w:rsid w:val="00C06FF4"/>
    <w:rsid w:val="00C10993"/>
    <w:rsid w:val="00C14FC2"/>
    <w:rsid w:val="00C1558F"/>
    <w:rsid w:val="00C16E94"/>
    <w:rsid w:val="00C17AA3"/>
    <w:rsid w:val="00C21AA9"/>
    <w:rsid w:val="00C26598"/>
    <w:rsid w:val="00C323C4"/>
    <w:rsid w:val="00C32809"/>
    <w:rsid w:val="00C63455"/>
    <w:rsid w:val="00C705ED"/>
    <w:rsid w:val="00C7249C"/>
    <w:rsid w:val="00C87456"/>
    <w:rsid w:val="00C901F1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131B1"/>
    <w:rsid w:val="00D15968"/>
    <w:rsid w:val="00D2022F"/>
    <w:rsid w:val="00D211CA"/>
    <w:rsid w:val="00D34672"/>
    <w:rsid w:val="00D5171F"/>
    <w:rsid w:val="00D52478"/>
    <w:rsid w:val="00D70F6F"/>
    <w:rsid w:val="00D7459C"/>
    <w:rsid w:val="00D75085"/>
    <w:rsid w:val="00D7649A"/>
    <w:rsid w:val="00D82A2D"/>
    <w:rsid w:val="00D82D00"/>
    <w:rsid w:val="00D850AA"/>
    <w:rsid w:val="00D8690E"/>
    <w:rsid w:val="00D87A41"/>
    <w:rsid w:val="00D952C7"/>
    <w:rsid w:val="00D9704D"/>
    <w:rsid w:val="00DA0DDA"/>
    <w:rsid w:val="00DB18E1"/>
    <w:rsid w:val="00DB3819"/>
    <w:rsid w:val="00DB4931"/>
    <w:rsid w:val="00DC63E9"/>
    <w:rsid w:val="00DD53F8"/>
    <w:rsid w:val="00DE174E"/>
    <w:rsid w:val="00E154DD"/>
    <w:rsid w:val="00E212F4"/>
    <w:rsid w:val="00E267F5"/>
    <w:rsid w:val="00E44389"/>
    <w:rsid w:val="00E470C3"/>
    <w:rsid w:val="00E50ECF"/>
    <w:rsid w:val="00E61273"/>
    <w:rsid w:val="00E63038"/>
    <w:rsid w:val="00E6682F"/>
    <w:rsid w:val="00E722E1"/>
    <w:rsid w:val="00E74A15"/>
    <w:rsid w:val="00E80517"/>
    <w:rsid w:val="00E92947"/>
    <w:rsid w:val="00EA3BF9"/>
    <w:rsid w:val="00EA6465"/>
    <w:rsid w:val="00EB7E57"/>
    <w:rsid w:val="00EC3D24"/>
    <w:rsid w:val="00ED5138"/>
    <w:rsid w:val="00ED7592"/>
    <w:rsid w:val="00EE0ED1"/>
    <w:rsid w:val="00F06E94"/>
    <w:rsid w:val="00F14F1E"/>
    <w:rsid w:val="00F32F3D"/>
    <w:rsid w:val="00F34EC5"/>
    <w:rsid w:val="00F42FB9"/>
    <w:rsid w:val="00F50827"/>
    <w:rsid w:val="00F64257"/>
    <w:rsid w:val="00F71F49"/>
    <w:rsid w:val="00F76B7F"/>
    <w:rsid w:val="00F911A8"/>
    <w:rsid w:val="00F95934"/>
    <w:rsid w:val="00FA3E61"/>
    <w:rsid w:val="00FB689B"/>
    <w:rsid w:val="00FC338D"/>
    <w:rsid w:val="00FC5126"/>
    <w:rsid w:val="00FE0C23"/>
    <w:rsid w:val="00FE3598"/>
    <w:rsid w:val="00FE402B"/>
    <w:rsid w:val="00FE4F06"/>
    <w:rsid w:val="00FE682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48AD5"/>
  <w15:docId w15:val="{97B3D9F0-831D-447B-8385-0309209B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BF62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7</cp:revision>
  <cp:lastPrinted>2015-09-09T05:07:00Z</cp:lastPrinted>
  <dcterms:created xsi:type="dcterms:W3CDTF">2017-10-10T09:48:00Z</dcterms:created>
  <dcterms:modified xsi:type="dcterms:W3CDTF">2018-05-09T12:10:00Z</dcterms:modified>
</cp:coreProperties>
</file>