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1235" w14:textId="124F7505" w:rsidR="00E75F00" w:rsidRPr="00E75F00" w:rsidRDefault="00E75F00" w:rsidP="00E75F00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E75F00">
        <w:rPr>
          <w:rFonts w:ascii="Tahoma" w:hAnsi="Tahoma" w:cs="Tahoma"/>
          <w:bCs/>
          <w:sz w:val="20"/>
          <w:szCs w:val="20"/>
        </w:rPr>
        <w:t xml:space="preserve">Št. </w:t>
      </w:r>
      <w:proofErr w:type="spellStart"/>
      <w:r w:rsidRPr="00E75F00">
        <w:rPr>
          <w:rFonts w:ascii="Tahoma" w:hAnsi="Tahoma" w:cs="Tahoma"/>
          <w:bCs/>
          <w:sz w:val="20"/>
          <w:szCs w:val="20"/>
        </w:rPr>
        <w:t>zadeve</w:t>
      </w:r>
      <w:proofErr w:type="spellEnd"/>
      <w:r w:rsidRPr="00E75F00">
        <w:rPr>
          <w:rFonts w:ascii="Tahoma" w:hAnsi="Tahoma" w:cs="Tahoma"/>
          <w:bCs/>
          <w:sz w:val="20"/>
          <w:szCs w:val="20"/>
        </w:rPr>
        <w:t xml:space="preserve">: </w:t>
      </w:r>
      <w:r w:rsidR="00BB3427">
        <w:rPr>
          <w:rFonts w:ascii="Tahoma" w:hAnsi="Tahoma" w:cs="Tahoma"/>
          <w:bCs/>
          <w:sz w:val="20"/>
          <w:szCs w:val="20"/>
        </w:rPr>
        <w:t>354-0005/2023</w:t>
      </w:r>
    </w:p>
    <w:p w14:paraId="394046EF" w14:textId="052E2B48" w:rsidR="00E75F00" w:rsidRPr="00E75F00" w:rsidRDefault="00E75F00" w:rsidP="00E75F00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E75F00">
        <w:rPr>
          <w:rFonts w:ascii="Tahoma" w:hAnsi="Tahoma" w:cs="Tahoma"/>
          <w:bCs/>
          <w:sz w:val="20"/>
          <w:szCs w:val="20"/>
        </w:rPr>
        <w:t xml:space="preserve">Datum: </w:t>
      </w:r>
      <w:r w:rsidR="00B961A1">
        <w:rPr>
          <w:rFonts w:ascii="Tahoma" w:hAnsi="Tahoma" w:cs="Tahoma"/>
          <w:bCs/>
          <w:sz w:val="20"/>
          <w:szCs w:val="20"/>
        </w:rPr>
        <w:t>18.01.2023</w:t>
      </w:r>
    </w:p>
    <w:p w14:paraId="71EE03D5" w14:textId="77777777" w:rsidR="00E75F00" w:rsidRPr="00492EAF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451FC372" w14:textId="77777777" w:rsidR="00022C86" w:rsidRDefault="00022C86" w:rsidP="00E75F00">
      <w:pPr>
        <w:spacing w:after="0" w:line="240" w:lineRule="auto"/>
        <w:jc w:val="both"/>
        <w:rPr>
          <w:rFonts w:ascii="Tahoma" w:hAnsi="Tahoma" w:cs="Tahoma"/>
        </w:rPr>
      </w:pPr>
    </w:p>
    <w:p w14:paraId="1738F6E9" w14:textId="77777777" w:rsidR="00E75F00" w:rsidRPr="00492EAF" w:rsidRDefault="00E75F00" w:rsidP="00E75F00">
      <w:pPr>
        <w:spacing w:after="0" w:line="240" w:lineRule="auto"/>
        <w:jc w:val="both"/>
        <w:rPr>
          <w:rFonts w:ascii="Tahoma" w:hAnsi="Tahoma" w:cs="Tahoma"/>
          <w:b/>
        </w:rPr>
      </w:pPr>
      <w:r w:rsidRPr="00492EAF">
        <w:rPr>
          <w:rFonts w:ascii="Tahoma" w:hAnsi="Tahoma" w:cs="Tahoma"/>
          <w:b/>
        </w:rPr>
        <w:t>OBČINSKI SVET</w:t>
      </w:r>
    </w:p>
    <w:p w14:paraId="7F64FA65" w14:textId="77777777" w:rsidR="00E75F00" w:rsidRPr="00492EAF" w:rsidRDefault="00E75F00" w:rsidP="00E75F00">
      <w:pPr>
        <w:spacing w:after="0" w:line="240" w:lineRule="auto"/>
        <w:jc w:val="both"/>
        <w:rPr>
          <w:rFonts w:ascii="Tahoma" w:hAnsi="Tahoma" w:cs="Tahoma"/>
          <w:b/>
        </w:rPr>
      </w:pPr>
      <w:r w:rsidRPr="00492EAF">
        <w:rPr>
          <w:rFonts w:ascii="Tahoma" w:hAnsi="Tahoma" w:cs="Tahoma"/>
          <w:b/>
        </w:rPr>
        <w:t>OBČINE PREVALJE</w:t>
      </w:r>
    </w:p>
    <w:p w14:paraId="380EE0CE" w14:textId="77777777" w:rsidR="00E75F00" w:rsidRPr="00492EAF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2DD30B6A" w14:textId="77777777" w:rsidR="00E75F00" w:rsidRPr="00492EAF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078426A1" w14:textId="60EE4DE9" w:rsidR="00E75F00" w:rsidRPr="00492EAF" w:rsidRDefault="00E75F00" w:rsidP="00E5701C">
      <w:pPr>
        <w:spacing w:after="0" w:line="240" w:lineRule="auto"/>
        <w:ind w:left="2832" w:hanging="2832"/>
        <w:jc w:val="both"/>
        <w:rPr>
          <w:rFonts w:ascii="Tahoma" w:hAnsi="Tahoma" w:cs="Tahoma"/>
          <w:szCs w:val="20"/>
        </w:rPr>
      </w:pPr>
      <w:r w:rsidRPr="00770409">
        <w:rPr>
          <w:rFonts w:ascii="Tahoma" w:hAnsi="Tahoma" w:cs="Tahoma"/>
          <w:b/>
          <w:bCs/>
          <w:szCs w:val="20"/>
        </w:rPr>
        <w:t>ZADEVA:</w:t>
      </w:r>
      <w:r w:rsidR="00E5701C">
        <w:rPr>
          <w:rFonts w:ascii="Tahoma" w:hAnsi="Tahoma" w:cs="Tahoma"/>
          <w:szCs w:val="20"/>
        </w:rPr>
        <w:tab/>
      </w:r>
      <w:proofErr w:type="spellStart"/>
      <w:r w:rsidR="00E5701C" w:rsidRPr="00E5701C">
        <w:rPr>
          <w:rFonts w:ascii="Tahoma" w:hAnsi="Tahoma" w:cs="Tahoma"/>
          <w:szCs w:val="20"/>
        </w:rPr>
        <w:t>Predlog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cen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oskrbe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s </w:t>
      </w:r>
      <w:proofErr w:type="spellStart"/>
      <w:r w:rsidR="00E5701C" w:rsidRPr="00E5701C">
        <w:rPr>
          <w:rFonts w:ascii="Tahoma" w:hAnsi="Tahoma" w:cs="Tahoma"/>
          <w:szCs w:val="20"/>
        </w:rPr>
        <w:t>pitno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vodo</w:t>
      </w:r>
      <w:proofErr w:type="spellEnd"/>
      <w:r w:rsidR="00E5701C" w:rsidRPr="00E5701C">
        <w:rPr>
          <w:rFonts w:ascii="Tahoma" w:hAnsi="Tahoma" w:cs="Tahoma"/>
          <w:szCs w:val="20"/>
        </w:rPr>
        <w:t xml:space="preserve">, </w:t>
      </w:r>
      <w:proofErr w:type="spellStart"/>
      <w:r w:rsidR="00E5701C" w:rsidRPr="00E5701C">
        <w:rPr>
          <w:rFonts w:ascii="Tahoma" w:hAnsi="Tahoma" w:cs="Tahoma"/>
          <w:szCs w:val="20"/>
        </w:rPr>
        <w:t>odvajanja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komunalne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in </w:t>
      </w:r>
      <w:proofErr w:type="spellStart"/>
      <w:r w:rsidR="00E5701C" w:rsidRPr="00E5701C">
        <w:rPr>
          <w:rFonts w:ascii="Tahoma" w:hAnsi="Tahoma" w:cs="Tahoma"/>
          <w:szCs w:val="20"/>
        </w:rPr>
        <w:t>padavinske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odpadne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vode</w:t>
      </w:r>
      <w:proofErr w:type="spellEnd"/>
      <w:r w:rsidR="00E5701C" w:rsidRPr="00E5701C">
        <w:rPr>
          <w:rFonts w:ascii="Tahoma" w:hAnsi="Tahoma" w:cs="Tahoma"/>
          <w:szCs w:val="20"/>
        </w:rPr>
        <w:t xml:space="preserve">, </w:t>
      </w:r>
      <w:proofErr w:type="spellStart"/>
      <w:r w:rsidR="00E5701C" w:rsidRPr="00E5701C">
        <w:rPr>
          <w:rFonts w:ascii="Tahoma" w:hAnsi="Tahoma" w:cs="Tahoma"/>
          <w:szCs w:val="20"/>
        </w:rPr>
        <w:t>čiščenja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komunalne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in </w:t>
      </w:r>
      <w:proofErr w:type="spellStart"/>
      <w:r w:rsidR="00E5701C" w:rsidRPr="00E5701C">
        <w:rPr>
          <w:rFonts w:ascii="Tahoma" w:hAnsi="Tahoma" w:cs="Tahoma"/>
          <w:szCs w:val="20"/>
        </w:rPr>
        <w:t>padavinske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odpadne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vode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ter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storitve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</w:t>
      </w:r>
      <w:proofErr w:type="spellStart"/>
      <w:r w:rsidR="00E5701C" w:rsidRPr="00E5701C">
        <w:rPr>
          <w:rFonts w:ascii="Tahoma" w:hAnsi="Tahoma" w:cs="Tahoma"/>
          <w:szCs w:val="20"/>
        </w:rPr>
        <w:t>povezane</w:t>
      </w:r>
      <w:proofErr w:type="spellEnd"/>
      <w:r w:rsidR="00E5701C" w:rsidRPr="00E5701C">
        <w:rPr>
          <w:rFonts w:ascii="Tahoma" w:hAnsi="Tahoma" w:cs="Tahoma"/>
          <w:szCs w:val="20"/>
        </w:rPr>
        <w:t xml:space="preserve"> z </w:t>
      </w:r>
      <w:proofErr w:type="spellStart"/>
      <w:r w:rsidR="00E5701C" w:rsidRPr="00E5701C">
        <w:rPr>
          <w:rFonts w:ascii="Tahoma" w:hAnsi="Tahoma" w:cs="Tahoma"/>
          <w:szCs w:val="20"/>
        </w:rPr>
        <w:t>greznicami</w:t>
      </w:r>
      <w:proofErr w:type="spellEnd"/>
      <w:r w:rsidR="00DE21D7">
        <w:rPr>
          <w:rFonts w:ascii="Tahoma" w:hAnsi="Tahoma" w:cs="Tahoma"/>
          <w:szCs w:val="20"/>
        </w:rPr>
        <w:t xml:space="preserve"> </w:t>
      </w:r>
      <w:proofErr w:type="spellStart"/>
      <w:r w:rsidR="00DE21D7">
        <w:rPr>
          <w:rFonts w:ascii="Tahoma" w:hAnsi="Tahoma" w:cs="Tahoma"/>
          <w:szCs w:val="20"/>
        </w:rPr>
        <w:t>za</w:t>
      </w:r>
      <w:proofErr w:type="spellEnd"/>
      <w:r w:rsidR="00DE21D7">
        <w:rPr>
          <w:rFonts w:ascii="Tahoma" w:hAnsi="Tahoma" w:cs="Tahoma"/>
          <w:szCs w:val="20"/>
        </w:rPr>
        <w:t xml:space="preserve"> </w:t>
      </w:r>
      <w:proofErr w:type="spellStart"/>
      <w:proofErr w:type="gramStart"/>
      <w:r w:rsidR="00DE21D7">
        <w:rPr>
          <w:rFonts w:ascii="Tahoma" w:hAnsi="Tahoma" w:cs="Tahoma"/>
          <w:szCs w:val="20"/>
        </w:rPr>
        <w:t>leto</w:t>
      </w:r>
      <w:proofErr w:type="spellEnd"/>
      <w:proofErr w:type="gramEnd"/>
      <w:r w:rsidR="00DE21D7">
        <w:rPr>
          <w:rFonts w:ascii="Tahoma" w:hAnsi="Tahoma" w:cs="Tahoma"/>
          <w:szCs w:val="20"/>
        </w:rPr>
        <w:t xml:space="preserve"> 2023</w:t>
      </w:r>
    </w:p>
    <w:p w14:paraId="73CA96B9" w14:textId="77777777" w:rsidR="00E75F00" w:rsidRPr="00492EAF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3E0525CD" w14:textId="48DEA84C" w:rsidR="00E75F00" w:rsidRPr="00770409" w:rsidRDefault="00E75F00" w:rsidP="00E75F00">
      <w:pPr>
        <w:spacing w:after="0" w:line="240" w:lineRule="auto"/>
        <w:jc w:val="both"/>
        <w:rPr>
          <w:rFonts w:ascii="Tahoma" w:hAnsi="Tahoma" w:cs="Tahoma"/>
          <w:b/>
          <w:lang w:val="de-AT"/>
        </w:rPr>
      </w:pPr>
      <w:r w:rsidRPr="00770409">
        <w:rPr>
          <w:rFonts w:ascii="Tahoma" w:hAnsi="Tahoma" w:cs="Tahoma"/>
          <w:b/>
          <w:lang w:val="de-AT"/>
        </w:rPr>
        <w:t>NAMEN IN CILJ:</w:t>
      </w:r>
      <w:r w:rsidRPr="00770409">
        <w:rPr>
          <w:rFonts w:ascii="Tahoma" w:hAnsi="Tahoma" w:cs="Tahoma"/>
          <w:b/>
          <w:lang w:val="de-AT"/>
        </w:rPr>
        <w:tab/>
      </w:r>
      <w:r w:rsidRPr="00770409">
        <w:rPr>
          <w:rFonts w:ascii="Tahoma" w:hAnsi="Tahoma" w:cs="Tahoma"/>
          <w:b/>
          <w:lang w:val="de-AT"/>
        </w:rPr>
        <w:tab/>
      </w:r>
      <w:proofErr w:type="spellStart"/>
      <w:r w:rsidR="00D86A76">
        <w:rPr>
          <w:rFonts w:ascii="Tahoma" w:hAnsi="Tahoma" w:cs="Tahoma"/>
          <w:bCs/>
          <w:lang w:val="de-AT"/>
        </w:rPr>
        <w:t>Sprejem</w:t>
      </w:r>
      <w:proofErr w:type="spellEnd"/>
      <w:r w:rsidR="00D86A76">
        <w:rPr>
          <w:rFonts w:ascii="Tahoma" w:hAnsi="Tahoma" w:cs="Tahoma"/>
          <w:bCs/>
          <w:lang w:val="de-AT"/>
        </w:rPr>
        <w:t xml:space="preserve"> </w:t>
      </w:r>
      <w:proofErr w:type="spellStart"/>
      <w:r w:rsidR="00D86A76">
        <w:rPr>
          <w:rFonts w:ascii="Tahoma" w:hAnsi="Tahoma" w:cs="Tahoma"/>
          <w:bCs/>
          <w:lang w:val="de-AT"/>
        </w:rPr>
        <w:t>sklepa</w:t>
      </w:r>
      <w:proofErr w:type="spellEnd"/>
      <w:r w:rsidR="00D86A76">
        <w:rPr>
          <w:rFonts w:ascii="Tahoma" w:hAnsi="Tahoma" w:cs="Tahoma"/>
          <w:bCs/>
          <w:lang w:val="de-AT"/>
        </w:rPr>
        <w:t xml:space="preserve"> na </w:t>
      </w:r>
      <w:proofErr w:type="spellStart"/>
      <w:r w:rsidR="00D86A76">
        <w:rPr>
          <w:rFonts w:ascii="Tahoma" w:hAnsi="Tahoma" w:cs="Tahoma"/>
          <w:bCs/>
          <w:lang w:val="de-AT"/>
        </w:rPr>
        <w:t>O</w:t>
      </w:r>
      <w:r w:rsidRPr="00770409">
        <w:rPr>
          <w:rFonts w:ascii="Tahoma" w:hAnsi="Tahoma" w:cs="Tahoma"/>
          <w:bCs/>
          <w:lang w:val="de-AT"/>
        </w:rPr>
        <w:t>bčinskem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lang w:val="de-AT"/>
        </w:rPr>
        <w:t>svetu</w:t>
      </w:r>
      <w:proofErr w:type="spellEnd"/>
    </w:p>
    <w:p w14:paraId="66880735" w14:textId="77777777" w:rsidR="00E75F00" w:rsidRPr="00770409" w:rsidRDefault="00E75F00" w:rsidP="00E75F00">
      <w:pPr>
        <w:spacing w:after="0" w:line="240" w:lineRule="auto"/>
        <w:jc w:val="both"/>
        <w:rPr>
          <w:rFonts w:ascii="Tahoma" w:hAnsi="Tahoma" w:cs="Tahoma"/>
          <w:b/>
          <w:lang w:val="de-AT"/>
        </w:rPr>
      </w:pPr>
    </w:p>
    <w:p w14:paraId="0B895F03" w14:textId="77777777" w:rsidR="00E75F00" w:rsidRPr="00770409" w:rsidRDefault="00E75F00" w:rsidP="00E75F00">
      <w:pPr>
        <w:spacing w:after="0" w:line="240" w:lineRule="auto"/>
        <w:ind w:left="2124" w:firstLine="708"/>
        <w:jc w:val="both"/>
        <w:rPr>
          <w:rFonts w:ascii="Tahoma" w:hAnsi="Tahoma" w:cs="Tahoma"/>
          <w:b/>
          <w:lang w:val="de-AT"/>
        </w:rPr>
      </w:pPr>
    </w:p>
    <w:p w14:paraId="300EB901" w14:textId="77777777" w:rsidR="00E75F00" w:rsidRPr="00770409" w:rsidRDefault="00E75F00" w:rsidP="00E75F00">
      <w:pPr>
        <w:spacing w:after="0" w:line="240" w:lineRule="auto"/>
        <w:jc w:val="both"/>
        <w:rPr>
          <w:rFonts w:ascii="Tahoma" w:hAnsi="Tahoma" w:cs="Tahoma"/>
          <w:bCs/>
          <w:lang w:val="de-AT"/>
        </w:rPr>
      </w:pPr>
      <w:r w:rsidRPr="00770409">
        <w:rPr>
          <w:rFonts w:ascii="Tahoma" w:hAnsi="Tahoma" w:cs="Tahoma"/>
          <w:b/>
          <w:lang w:val="de-AT"/>
        </w:rPr>
        <w:t>PREDLAGATELJ:</w:t>
      </w:r>
      <w:r w:rsidRPr="00770409">
        <w:rPr>
          <w:rFonts w:ascii="Tahoma" w:hAnsi="Tahoma" w:cs="Tahoma"/>
          <w:b/>
          <w:lang w:val="de-AT"/>
        </w:rPr>
        <w:tab/>
      </w:r>
      <w:r w:rsidRPr="00770409">
        <w:rPr>
          <w:rFonts w:ascii="Tahoma" w:hAnsi="Tahoma" w:cs="Tahoma"/>
          <w:b/>
          <w:lang w:val="de-AT"/>
        </w:rPr>
        <w:tab/>
      </w:r>
      <w:proofErr w:type="spellStart"/>
      <w:r w:rsidRPr="00770409">
        <w:rPr>
          <w:rFonts w:ascii="Tahoma" w:hAnsi="Tahoma" w:cs="Tahoma"/>
          <w:bCs/>
          <w:lang w:val="de-AT"/>
        </w:rPr>
        <w:t>Župan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lang w:val="de-AT"/>
        </w:rPr>
        <w:t>dr.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Matija Tasič</w:t>
      </w:r>
    </w:p>
    <w:p w14:paraId="3FDC16B5" w14:textId="77777777" w:rsidR="00E75F00" w:rsidRPr="00770409" w:rsidRDefault="00E75F00" w:rsidP="00E75F00">
      <w:pPr>
        <w:spacing w:after="0" w:line="240" w:lineRule="auto"/>
        <w:rPr>
          <w:rFonts w:ascii="Tahoma" w:hAnsi="Tahoma" w:cs="Tahoma"/>
          <w:szCs w:val="20"/>
          <w:lang w:val="de-AT"/>
        </w:rPr>
      </w:pPr>
    </w:p>
    <w:p w14:paraId="70DB5D33" w14:textId="77777777" w:rsidR="00E75F00" w:rsidRPr="00770409" w:rsidRDefault="00E75F00" w:rsidP="00E75F00">
      <w:pPr>
        <w:spacing w:after="0" w:line="240" w:lineRule="auto"/>
        <w:rPr>
          <w:rFonts w:ascii="Tahoma" w:hAnsi="Tahoma" w:cs="Tahoma"/>
          <w:szCs w:val="20"/>
          <w:lang w:val="de-AT"/>
        </w:rPr>
      </w:pPr>
    </w:p>
    <w:p w14:paraId="2A93633E" w14:textId="77777777" w:rsidR="00E75F00" w:rsidRPr="00770409" w:rsidRDefault="00E75F00" w:rsidP="00E75F00">
      <w:pPr>
        <w:spacing w:after="0" w:line="240" w:lineRule="auto"/>
        <w:rPr>
          <w:rFonts w:ascii="Tahoma" w:hAnsi="Tahoma" w:cs="Tahoma"/>
          <w:b/>
          <w:bCs/>
          <w:szCs w:val="20"/>
          <w:lang w:val="de-AT"/>
        </w:rPr>
      </w:pPr>
      <w:proofErr w:type="spellStart"/>
      <w:r w:rsidRPr="00770409">
        <w:rPr>
          <w:rFonts w:ascii="Tahoma" w:hAnsi="Tahoma" w:cs="Tahoma"/>
          <w:b/>
          <w:bCs/>
          <w:szCs w:val="20"/>
          <w:lang w:val="de-AT"/>
        </w:rPr>
        <w:t>Obrazložitev</w:t>
      </w:r>
      <w:proofErr w:type="spellEnd"/>
      <w:r w:rsidRPr="00770409">
        <w:rPr>
          <w:rFonts w:ascii="Tahoma" w:hAnsi="Tahoma" w:cs="Tahoma"/>
          <w:b/>
          <w:bCs/>
          <w:szCs w:val="20"/>
          <w:lang w:val="de-AT"/>
        </w:rPr>
        <w:t>:</w:t>
      </w:r>
    </w:p>
    <w:p w14:paraId="6DCAA601" w14:textId="77777777" w:rsid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</w:p>
    <w:p w14:paraId="03D2C1A2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r w:rsidRPr="00BB3427">
        <w:rPr>
          <w:rFonts w:ascii="Tahoma" w:hAnsi="Tahoma" w:cs="Tahoma"/>
          <w:bCs/>
          <w:szCs w:val="20"/>
          <w:lang w:val="de-AT"/>
        </w:rPr>
        <w:t xml:space="preserve">V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skladu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z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Uredbo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o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metodologiji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oblikovanje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obveznih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občinskih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gospodarskih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javnih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služb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varstva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okolja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(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Uradni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list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RS, št. 87/12, 109/12, 76/17, 78/19 in 44/22 – ZVO-2) je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upravljavec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pripravil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nov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predlog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komunalnih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in Elaborat o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oblikovanju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. </w:t>
      </w:r>
    </w:p>
    <w:p w14:paraId="475B0BF0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r w:rsidRPr="00BB3427">
        <w:rPr>
          <w:rFonts w:ascii="Tahoma" w:hAnsi="Tahoma" w:cs="Tahoma"/>
          <w:bCs/>
          <w:szCs w:val="20"/>
          <w:lang w:val="de-AT"/>
        </w:rPr>
        <w:t xml:space="preserve">Cene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čiščenja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zaradi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prevzemanja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čistilne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naprave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Prevalje v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upravljanje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JKP LOG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spreminjajo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uvajajo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nove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sicer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storitve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greznic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. </w:t>
      </w:r>
    </w:p>
    <w:p w14:paraId="0AE5D6D9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proofErr w:type="spellStart"/>
      <w:r w:rsidRPr="00BB3427">
        <w:rPr>
          <w:rFonts w:ascii="Tahoma" w:hAnsi="Tahoma" w:cs="Tahoma"/>
          <w:bCs/>
          <w:szCs w:val="20"/>
          <w:lang w:val="de-AT"/>
        </w:rPr>
        <w:t>Skladno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z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Uredbo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oblikujejo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naslednje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obdobje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na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podlagi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realiziranih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stroškov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količin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.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Zaradi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izgradnje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čistilne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naprave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Prevalje se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uvaja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vse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tiste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odjemalce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so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preko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javnega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kanalizacijskega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omrežja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že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priključeni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nanjo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.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Tem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odjemalcem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zniža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okoljska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dajatev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>.</w:t>
      </w:r>
    </w:p>
    <w:p w14:paraId="2E700273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tiste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niso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priključeni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na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čistilno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napravo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nimajo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svoje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male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čistilne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naprave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ter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niso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kmetje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, in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tako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niso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podpisali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izjave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, da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imajo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neprepustno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greznico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greznične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gošče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hranijo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v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gnojni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jami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6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mesecev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kjer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predelajo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uvajamo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novo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greznice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. Le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ta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predvideva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enkrat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v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treh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letih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odvoz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grezničnih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gošč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njihovo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predelavo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na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čistilni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napravi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. </w:t>
      </w:r>
    </w:p>
    <w:p w14:paraId="1A1AB16C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proofErr w:type="spellStart"/>
      <w:r w:rsidRPr="00BB3427">
        <w:rPr>
          <w:rFonts w:ascii="Tahoma" w:hAnsi="Tahoma" w:cs="Tahoma"/>
          <w:bCs/>
          <w:szCs w:val="20"/>
          <w:lang w:val="de-AT"/>
        </w:rPr>
        <w:t>Predračunske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so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ločene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na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omrežnino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izvajanja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storitve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so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pripravljene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naslednje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storitve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>:</w:t>
      </w:r>
    </w:p>
    <w:p w14:paraId="0D154631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r w:rsidRPr="00BB3427">
        <w:rPr>
          <w:rFonts w:ascii="Tahoma" w:hAnsi="Tahoma" w:cs="Tahoma"/>
          <w:bCs/>
          <w:szCs w:val="20"/>
          <w:lang w:val="de-AT"/>
        </w:rPr>
        <w:t>-</w:t>
      </w:r>
      <w:r w:rsidRPr="00BB3427">
        <w:rPr>
          <w:rFonts w:ascii="Tahoma" w:hAnsi="Tahoma" w:cs="Tahoma"/>
          <w:bCs/>
          <w:szCs w:val="20"/>
          <w:lang w:val="de-AT"/>
        </w:rPr>
        <w:tab/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Oskrba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pitno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vodo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>,</w:t>
      </w:r>
    </w:p>
    <w:p w14:paraId="043283FF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r w:rsidRPr="00BB3427">
        <w:rPr>
          <w:rFonts w:ascii="Tahoma" w:hAnsi="Tahoma" w:cs="Tahoma"/>
          <w:bCs/>
          <w:szCs w:val="20"/>
          <w:lang w:val="de-AT"/>
        </w:rPr>
        <w:t>-</w:t>
      </w:r>
      <w:r w:rsidRPr="00BB3427">
        <w:rPr>
          <w:rFonts w:ascii="Tahoma" w:hAnsi="Tahoma" w:cs="Tahoma"/>
          <w:bCs/>
          <w:szCs w:val="20"/>
          <w:lang w:val="de-AT"/>
        </w:rPr>
        <w:tab/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Odvajanje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komunalne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padavinske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vode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>,</w:t>
      </w:r>
    </w:p>
    <w:p w14:paraId="20FE77F9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r w:rsidRPr="00BB3427">
        <w:rPr>
          <w:rFonts w:ascii="Tahoma" w:hAnsi="Tahoma" w:cs="Tahoma"/>
          <w:bCs/>
          <w:szCs w:val="20"/>
          <w:lang w:val="de-AT"/>
        </w:rPr>
        <w:t>-</w:t>
      </w:r>
      <w:r w:rsidRPr="00BB3427">
        <w:rPr>
          <w:rFonts w:ascii="Tahoma" w:hAnsi="Tahoma" w:cs="Tahoma"/>
          <w:bCs/>
          <w:szCs w:val="20"/>
          <w:lang w:val="de-AT"/>
        </w:rPr>
        <w:tab/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Čiščenje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komunalne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padavinske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odpadne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vode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>,</w:t>
      </w:r>
    </w:p>
    <w:p w14:paraId="5D4D56FC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r w:rsidRPr="00BB3427">
        <w:rPr>
          <w:rFonts w:ascii="Tahoma" w:hAnsi="Tahoma" w:cs="Tahoma"/>
          <w:bCs/>
          <w:szCs w:val="20"/>
          <w:lang w:val="de-AT"/>
        </w:rPr>
        <w:t>-</w:t>
      </w:r>
      <w:r w:rsidRPr="00BB3427">
        <w:rPr>
          <w:rFonts w:ascii="Tahoma" w:hAnsi="Tahoma" w:cs="Tahoma"/>
          <w:bCs/>
          <w:szCs w:val="20"/>
          <w:lang w:val="de-AT"/>
        </w:rPr>
        <w:tab/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Storitve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povezane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z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greznicami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>.</w:t>
      </w:r>
    </w:p>
    <w:p w14:paraId="7B0EDEFB" w14:textId="77777777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proofErr w:type="spellStart"/>
      <w:r w:rsidRPr="00BB3427">
        <w:rPr>
          <w:rFonts w:ascii="Tahoma" w:hAnsi="Tahoma" w:cs="Tahoma"/>
          <w:bCs/>
          <w:szCs w:val="20"/>
          <w:lang w:val="de-AT"/>
        </w:rPr>
        <w:t>Največji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vpliv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na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višino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novih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so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imeli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stroški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dela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energije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ter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.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Osnovna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plača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se je v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preteklih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dveh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letih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dvignila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cca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20%,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plina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v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zadnjem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letu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skoraj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cca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100%,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električne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energije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cca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400%.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Posledično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so se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dvignili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praktično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vsi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stroški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ter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drugega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materiala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>.</w:t>
      </w:r>
    </w:p>
    <w:p w14:paraId="438344FC" w14:textId="048D306F" w:rsidR="00740114" w:rsidRDefault="00BB3427" w:rsidP="00BB3427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proofErr w:type="spellStart"/>
      <w:r w:rsidRPr="00BB3427">
        <w:rPr>
          <w:rFonts w:ascii="Tahoma" w:hAnsi="Tahoma" w:cs="Tahoma"/>
          <w:bCs/>
          <w:szCs w:val="20"/>
          <w:lang w:val="de-AT"/>
        </w:rPr>
        <w:t>Predlagane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predračunske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cene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obveznih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občinskih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GJS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varstva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okolja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za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leto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2023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oz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od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1.2.2023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dalje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 xml:space="preserve"> so </w:t>
      </w:r>
      <w:proofErr w:type="spellStart"/>
      <w:r w:rsidRPr="00BB3427">
        <w:rPr>
          <w:rFonts w:ascii="Tahoma" w:hAnsi="Tahoma" w:cs="Tahoma"/>
          <w:bCs/>
          <w:szCs w:val="20"/>
          <w:lang w:val="de-AT"/>
        </w:rPr>
        <w:t>sledeče</w:t>
      </w:r>
      <w:proofErr w:type="spellEnd"/>
      <w:r w:rsidRPr="00BB3427">
        <w:rPr>
          <w:rFonts w:ascii="Tahoma" w:hAnsi="Tahoma" w:cs="Tahoma"/>
          <w:bCs/>
          <w:szCs w:val="20"/>
          <w:lang w:val="de-AT"/>
        </w:rPr>
        <w:t>:</w:t>
      </w:r>
    </w:p>
    <w:p w14:paraId="1F9279B0" w14:textId="77777777" w:rsidR="00740114" w:rsidRDefault="00740114" w:rsidP="00E75F00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</w:p>
    <w:p w14:paraId="529EBAE0" w14:textId="77777777" w:rsidR="00E75F00" w:rsidRDefault="00E75F00" w:rsidP="00E75F00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</w:p>
    <w:p w14:paraId="6E99D35D" w14:textId="77777777" w:rsidR="00022C86" w:rsidRDefault="00022C86" w:rsidP="00E75F00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</w:p>
    <w:p w14:paraId="1E4E86A8" w14:textId="77777777" w:rsidR="00022C86" w:rsidRDefault="00022C86" w:rsidP="00E75F00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bookmarkStart w:id="0" w:name="_GoBack"/>
      <w:bookmarkEnd w:id="0"/>
    </w:p>
    <w:p w14:paraId="3787BF82" w14:textId="77777777" w:rsidR="00BB3427" w:rsidRPr="00770409" w:rsidRDefault="00BB3427" w:rsidP="00E75F00">
      <w:pPr>
        <w:spacing w:after="0" w:line="240" w:lineRule="auto"/>
        <w:jc w:val="both"/>
        <w:rPr>
          <w:rFonts w:ascii="Tahoma" w:hAnsi="Tahoma" w:cs="Tahoma"/>
          <w:szCs w:val="20"/>
          <w:lang w:val="de-AT"/>
        </w:rPr>
      </w:pPr>
    </w:p>
    <w:p w14:paraId="70CB7EF9" w14:textId="27CF31EB" w:rsidR="00BB3427" w:rsidRDefault="00BB3427" w:rsidP="00E75F00">
      <w:pPr>
        <w:spacing w:after="0" w:line="240" w:lineRule="auto"/>
        <w:rPr>
          <w:rFonts w:ascii="Tahoma" w:hAnsi="Tahoma" w:cs="Tahoma"/>
          <w:b/>
          <w:i/>
          <w:u w:val="single"/>
          <w:lang w:val="sl-SI"/>
        </w:rPr>
      </w:pPr>
      <w:r>
        <w:rPr>
          <w:rFonts w:ascii="Tahoma" w:hAnsi="Tahoma" w:cs="Tahoma"/>
          <w:b/>
          <w:i/>
          <w:u w:val="single"/>
          <w:lang w:val="sl-SI"/>
        </w:rPr>
        <w:lastRenderedPageBreak/>
        <w:t>Predlog sklepa:</w:t>
      </w:r>
    </w:p>
    <w:p w14:paraId="52BAD24C" w14:textId="5D009042" w:rsidR="00BB3427" w:rsidRPr="00BB3427" w:rsidRDefault="00BB3427" w:rsidP="00BB3427">
      <w:pPr>
        <w:spacing w:after="0" w:line="240" w:lineRule="auto"/>
        <w:jc w:val="both"/>
        <w:rPr>
          <w:rFonts w:ascii="Tahoma" w:hAnsi="Tahoma" w:cs="Tahoma"/>
          <w:i/>
          <w:lang w:val="sl-SI"/>
        </w:rPr>
      </w:pPr>
      <w:r w:rsidRPr="00BB3427">
        <w:rPr>
          <w:rFonts w:ascii="Tahoma" w:hAnsi="Tahoma" w:cs="Tahoma"/>
          <w:i/>
          <w:lang w:val="sl-SI"/>
        </w:rPr>
        <w:t xml:space="preserve">Občinski svet občine Prevalje potrjuje Elaborat o oblikovanju cene izvajanja storitev obveznih občinskih gospodarskih javnih služb varstva okolja za leto 2023 - ter </w:t>
      </w:r>
      <w:r w:rsidR="005E28C9" w:rsidRPr="00BB3427">
        <w:rPr>
          <w:rFonts w:ascii="Tahoma" w:hAnsi="Tahoma" w:cs="Tahoma"/>
          <w:i/>
          <w:lang w:val="sl-SI"/>
        </w:rPr>
        <w:t>cen</w:t>
      </w:r>
      <w:r w:rsidR="005E28C9">
        <w:rPr>
          <w:rFonts w:ascii="Tahoma" w:hAnsi="Tahoma" w:cs="Tahoma"/>
          <w:i/>
          <w:lang w:val="sl-SI"/>
        </w:rPr>
        <w:t>e</w:t>
      </w:r>
      <w:r w:rsidR="005E28C9" w:rsidRPr="00BB3427">
        <w:rPr>
          <w:rFonts w:ascii="Tahoma" w:hAnsi="Tahoma" w:cs="Tahoma"/>
          <w:i/>
          <w:lang w:val="sl-SI"/>
        </w:rPr>
        <w:t xml:space="preserve"> oskrbe s pitno vodo, odvajanja komunalne in padavinske odpadne vode, čiščenja komunalne in padavinske odpadne vode ter storitve povezane z greznicami za leto 2023</w:t>
      </w:r>
      <w:r w:rsidRPr="00BB3427">
        <w:rPr>
          <w:rFonts w:ascii="Tahoma" w:hAnsi="Tahoma" w:cs="Tahoma"/>
          <w:i/>
          <w:lang w:val="sl-SI"/>
        </w:rPr>
        <w:t>, kakor izhaja iz tabele v prilogi.</w:t>
      </w:r>
      <w:r>
        <w:rPr>
          <w:rFonts w:ascii="Tahoma" w:hAnsi="Tahoma" w:cs="Tahoma"/>
          <w:i/>
          <w:lang w:val="sl-SI"/>
        </w:rPr>
        <w:t xml:space="preserve"> Cene se uporabljajo od 1.2.2023 dalje.</w:t>
      </w:r>
    </w:p>
    <w:p w14:paraId="49D2FC82" w14:textId="77777777" w:rsidR="00BB3427" w:rsidRDefault="00BB3427" w:rsidP="00E75F00">
      <w:pPr>
        <w:spacing w:after="0" w:line="240" w:lineRule="auto"/>
        <w:rPr>
          <w:rFonts w:ascii="Tahoma" w:hAnsi="Tahoma" w:cs="Tahoma"/>
          <w:b/>
          <w:i/>
          <w:u w:val="single"/>
          <w:lang w:val="sl-SI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272"/>
        <w:gridCol w:w="2532"/>
        <w:gridCol w:w="1325"/>
        <w:gridCol w:w="2195"/>
      </w:tblGrid>
      <w:tr w:rsidR="00BB3427" w:rsidRPr="00603F43" w14:paraId="0A6C9D11" w14:textId="77777777" w:rsidTr="00C97019">
        <w:trPr>
          <w:trHeight w:val="340"/>
        </w:trPr>
        <w:tc>
          <w:tcPr>
            <w:tcW w:w="959" w:type="pct"/>
            <w:shd w:val="clear" w:color="auto" w:fill="EDEDED" w:themeFill="accent3" w:themeFillTint="33"/>
          </w:tcPr>
          <w:p w14:paraId="459724FF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</w:p>
          <w:p w14:paraId="52731FFB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b/>
                <w:sz w:val="20"/>
              </w:rPr>
              <w:t>Storitev</w:t>
            </w:r>
            <w:proofErr w:type="spellEnd"/>
          </w:p>
        </w:tc>
        <w:tc>
          <w:tcPr>
            <w:tcW w:w="702" w:type="pct"/>
            <w:shd w:val="clear" w:color="auto" w:fill="EDEDED" w:themeFill="accent3" w:themeFillTint="33"/>
          </w:tcPr>
          <w:p w14:paraId="259EB5C1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</w:p>
          <w:p w14:paraId="54AF7139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  <w:r w:rsidRPr="00BB3427">
              <w:rPr>
                <w:rFonts w:ascii="Tahoma" w:hAnsi="Tahoma" w:cs="Tahoma"/>
                <w:b/>
                <w:sz w:val="20"/>
              </w:rPr>
              <w:t>Občina</w:t>
            </w:r>
          </w:p>
        </w:tc>
        <w:tc>
          <w:tcPr>
            <w:tcW w:w="1397" w:type="pct"/>
            <w:shd w:val="clear" w:color="auto" w:fill="EDEDED" w:themeFill="accent3" w:themeFillTint="33"/>
          </w:tcPr>
          <w:p w14:paraId="699775D1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728FB228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b/>
                <w:sz w:val="20"/>
              </w:rPr>
              <w:t>Vrsta</w:t>
            </w:r>
            <w:proofErr w:type="spellEnd"/>
            <w:r w:rsidRPr="00BB342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b/>
                <w:sz w:val="20"/>
              </w:rPr>
              <w:t>cene</w:t>
            </w:r>
            <w:proofErr w:type="spellEnd"/>
          </w:p>
        </w:tc>
        <w:tc>
          <w:tcPr>
            <w:tcW w:w="731" w:type="pct"/>
            <w:shd w:val="clear" w:color="auto" w:fill="EDEDED" w:themeFill="accent3" w:themeFillTint="33"/>
          </w:tcPr>
          <w:p w14:paraId="0DB2A391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1939AF0B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BB3427">
              <w:rPr>
                <w:rFonts w:ascii="Tahoma" w:hAnsi="Tahoma" w:cs="Tahoma"/>
                <w:b/>
                <w:sz w:val="20"/>
              </w:rPr>
              <w:t>EM</w:t>
            </w:r>
          </w:p>
        </w:tc>
        <w:tc>
          <w:tcPr>
            <w:tcW w:w="1211" w:type="pct"/>
            <w:shd w:val="clear" w:color="auto" w:fill="EDEDED" w:themeFill="accent3" w:themeFillTint="33"/>
          </w:tcPr>
          <w:p w14:paraId="54FD09C5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BB3427">
              <w:rPr>
                <w:rFonts w:ascii="Tahoma" w:hAnsi="Tahoma" w:cs="Tahoma"/>
                <w:b/>
                <w:sz w:val="20"/>
              </w:rPr>
              <w:t>PREDRAČUNSKA CENA ZA LETO 2023 v €</w:t>
            </w:r>
          </w:p>
        </w:tc>
      </w:tr>
      <w:tr w:rsidR="00BB3427" w:rsidRPr="00603F43" w14:paraId="221A0744" w14:textId="77777777" w:rsidTr="00C97019">
        <w:trPr>
          <w:trHeight w:val="340"/>
        </w:trPr>
        <w:tc>
          <w:tcPr>
            <w:tcW w:w="959" w:type="pct"/>
            <w:vMerge w:val="restart"/>
            <w:shd w:val="clear" w:color="auto" w:fill="auto"/>
            <w:vAlign w:val="center"/>
          </w:tcPr>
          <w:p w14:paraId="03D24822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Oskrba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s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pitno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vodo</w:t>
            </w:r>
            <w:proofErr w:type="spellEnd"/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14:paraId="3525E13F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Prevalje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93EFDC4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Omrežnina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(DN20)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099ED71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priklj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3C36EC75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2,5019</w:t>
            </w:r>
          </w:p>
        </w:tc>
      </w:tr>
      <w:tr w:rsidR="00BB3427" w:rsidRPr="00603F43" w14:paraId="07C84F45" w14:textId="77777777" w:rsidTr="00C97019">
        <w:trPr>
          <w:trHeight w:val="340"/>
        </w:trPr>
        <w:tc>
          <w:tcPr>
            <w:tcW w:w="959" w:type="pct"/>
            <w:vMerge/>
            <w:shd w:val="clear" w:color="auto" w:fill="auto"/>
            <w:vAlign w:val="center"/>
          </w:tcPr>
          <w:p w14:paraId="5B958F79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14:paraId="13ADF1A5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pct"/>
            <w:shd w:val="clear" w:color="auto" w:fill="EDEDED" w:themeFill="accent3" w:themeFillTint="33"/>
            <w:vAlign w:val="center"/>
          </w:tcPr>
          <w:p w14:paraId="131C14DF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Vodarina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vklj.vodna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povr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731" w:type="pct"/>
            <w:shd w:val="clear" w:color="auto" w:fill="EDEDED" w:themeFill="accent3" w:themeFillTint="33"/>
            <w:vAlign w:val="center"/>
          </w:tcPr>
          <w:p w14:paraId="37595EE4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€/m</w:t>
            </w:r>
            <w:r w:rsidRPr="00BB3427">
              <w:rPr>
                <w:rFonts w:ascii="Tahoma" w:hAnsi="Tahoma" w:cs="Tahoma"/>
                <w:sz w:val="20"/>
                <w:vertAlign w:val="superscript"/>
              </w:rPr>
              <w:t>3</w:t>
            </w:r>
          </w:p>
        </w:tc>
        <w:tc>
          <w:tcPr>
            <w:tcW w:w="1211" w:type="pct"/>
            <w:shd w:val="clear" w:color="auto" w:fill="EDEDED" w:themeFill="accent3" w:themeFillTint="33"/>
            <w:vAlign w:val="center"/>
          </w:tcPr>
          <w:p w14:paraId="7A9A2D49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0,5379</w:t>
            </w:r>
          </w:p>
        </w:tc>
      </w:tr>
      <w:tr w:rsidR="00BB3427" w:rsidRPr="00603F43" w14:paraId="3FCB59A6" w14:textId="77777777" w:rsidTr="00C97019">
        <w:trPr>
          <w:trHeight w:val="340"/>
        </w:trPr>
        <w:tc>
          <w:tcPr>
            <w:tcW w:w="959" w:type="pct"/>
            <w:vMerge w:val="restart"/>
            <w:shd w:val="clear" w:color="auto" w:fill="auto"/>
            <w:vAlign w:val="center"/>
          </w:tcPr>
          <w:p w14:paraId="2A95C663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Odvajanje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odp.vode</w:t>
            </w:r>
            <w:proofErr w:type="spellEnd"/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14:paraId="4EE87FE8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Prevalje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87FCD1C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Omrežnina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(DN20)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9EC7F3D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priklj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30DA3FB9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6,0793</w:t>
            </w:r>
          </w:p>
        </w:tc>
      </w:tr>
      <w:tr w:rsidR="00BB3427" w:rsidRPr="00603F43" w14:paraId="69B78C49" w14:textId="77777777" w:rsidTr="00C97019">
        <w:trPr>
          <w:trHeight w:val="340"/>
        </w:trPr>
        <w:tc>
          <w:tcPr>
            <w:tcW w:w="959" w:type="pct"/>
            <w:vMerge/>
            <w:shd w:val="clear" w:color="auto" w:fill="auto"/>
            <w:vAlign w:val="center"/>
          </w:tcPr>
          <w:p w14:paraId="773B0D0B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14:paraId="2F7053BC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pct"/>
            <w:shd w:val="clear" w:color="auto" w:fill="EDEDED" w:themeFill="accent3" w:themeFillTint="33"/>
            <w:vAlign w:val="center"/>
          </w:tcPr>
          <w:p w14:paraId="03492D24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Subvencija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fiksnega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dela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cene</w:t>
            </w:r>
            <w:proofErr w:type="spellEnd"/>
          </w:p>
        </w:tc>
        <w:tc>
          <w:tcPr>
            <w:tcW w:w="731" w:type="pct"/>
            <w:shd w:val="clear" w:color="auto" w:fill="EDEDED" w:themeFill="accent3" w:themeFillTint="33"/>
            <w:vAlign w:val="center"/>
          </w:tcPr>
          <w:p w14:paraId="29556963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€/m</w:t>
            </w:r>
            <w:r w:rsidRPr="00BB3427">
              <w:rPr>
                <w:rFonts w:ascii="Tahoma" w:hAnsi="Tahoma" w:cs="Tahoma"/>
                <w:sz w:val="20"/>
                <w:vertAlign w:val="superscript"/>
              </w:rPr>
              <w:t>3</w:t>
            </w:r>
          </w:p>
        </w:tc>
        <w:tc>
          <w:tcPr>
            <w:tcW w:w="1211" w:type="pct"/>
            <w:shd w:val="clear" w:color="auto" w:fill="EDEDED" w:themeFill="accent3" w:themeFillTint="33"/>
            <w:vAlign w:val="center"/>
          </w:tcPr>
          <w:p w14:paraId="4CB8D45B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3,0396</w:t>
            </w:r>
          </w:p>
        </w:tc>
      </w:tr>
      <w:tr w:rsidR="00BB3427" w:rsidRPr="00603F43" w14:paraId="6B49962F" w14:textId="77777777" w:rsidTr="00C97019">
        <w:trPr>
          <w:trHeight w:val="340"/>
        </w:trPr>
        <w:tc>
          <w:tcPr>
            <w:tcW w:w="959" w:type="pct"/>
            <w:shd w:val="clear" w:color="auto" w:fill="auto"/>
            <w:vAlign w:val="center"/>
          </w:tcPr>
          <w:p w14:paraId="418DB592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747B6ED6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pct"/>
            <w:shd w:val="clear" w:color="auto" w:fill="EDEDED" w:themeFill="accent3" w:themeFillTint="33"/>
            <w:vAlign w:val="center"/>
          </w:tcPr>
          <w:p w14:paraId="3E580EEA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Cena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storitve</w:t>
            </w:r>
            <w:proofErr w:type="spellEnd"/>
          </w:p>
        </w:tc>
        <w:tc>
          <w:tcPr>
            <w:tcW w:w="731" w:type="pct"/>
            <w:shd w:val="clear" w:color="auto" w:fill="EDEDED" w:themeFill="accent3" w:themeFillTint="33"/>
            <w:vAlign w:val="center"/>
          </w:tcPr>
          <w:p w14:paraId="5340F48F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€/m</w:t>
            </w:r>
            <w:r w:rsidRPr="00BB3427">
              <w:rPr>
                <w:rFonts w:ascii="Tahoma" w:hAnsi="Tahoma" w:cs="Tahoma"/>
                <w:sz w:val="20"/>
                <w:vertAlign w:val="superscript"/>
              </w:rPr>
              <w:t>3</w:t>
            </w:r>
          </w:p>
        </w:tc>
        <w:tc>
          <w:tcPr>
            <w:tcW w:w="1211" w:type="pct"/>
            <w:shd w:val="clear" w:color="auto" w:fill="EDEDED" w:themeFill="accent3" w:themeFillTint="33"/>
            <w:vAlign w:val="center"/>
          </w:tcPr>
          <w:p w14:paraId="7DF2EBB6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0,3745</w:t>
            </w:r>
          </w:p>
        </w:tc>
      </w:tr>
      <w:tr w:rsidR="00BB3427" w:rsidRPr="00603F43" w14:paraId="50AD9199" w14:textId="77777777" w:rsidTr="00C97019">
        <w:trPr>
          <w:trHeight w:val="340"/>
        </w:trPr>
        <w:tc>
          <w:tcPr>
            <w:tcW w:w="959" w:type="pct"/>
            <w:vMerge w:val="restart"/>
            <w:shd w:val="clear" w:color="auto" w:fill="auto"/>
            <w:vAlign w:val="center"/>
          </w:tcPr>
          <w:p w14:paraId="011366AA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Čiščenje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odp.vode</w:t>
            </w:r>
            <w:proofErr w:type="spellEnd"/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14:paraId="60563649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Prevalje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666D8701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Omrežnina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(DN20)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2E119AB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priklj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60A2629A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6,5615</w:t>
            </w:r>
          </w:p>
        </w:tc>
      </w:tr>
      <w:tr w:rsidR="00BB3427" w:rsidRPr="00603F43" w14:paraId="2C6A7001" w14:textId="77777777" w:rsidTr="00C97019">
        <w:trPr>
          <w:trHeight w:val="340"/>
        </w:trPr>
        <w:tc>
          <w:tcPr>
            <w:tcW w:w="95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78AC0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52BE5D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5DF518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Subvencija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fiksnega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dela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cene</w:t>
            </w:r>
            <w:proofErr w:type="spellEnd"/>
          </w:p>
        </w:tc>
        <w:tc>
          <w:tcPr>
            <w:tcW w:w="73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03E35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priklj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21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AF62B4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3,2807</w:t>
            </w:r>
          </w:p>
        </w:tc>
      </w:tr>
      <w:tr w:rsidR="00BB3427" w:rsidRPr="00603F43" w14:paraId="089E68CD" w14:textId="77777777" w:rsidTr="00C97019">
        <w:trPr>
          <w:trHeight w:val="340"/>
        </w:trPr>
        <w:tc>
          <w:tcPr>
            <w:tcW w:w="95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579D53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3B2D27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97" w:type="pct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F400D42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Cena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storitve</w:t>
            </w:r>
            <w:proofErr w:type="spellEnd"/>
          </w:p>
        </w:tc>
        <w:tc>
          <w:tcPr>
            <w:tcW w:w="731" w:type="pct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77495984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€/m</w:t>
            </w:r>
            <w:r w:rsidRPr="00BB3427">
              <w:rPr>
                <w:rFonts w:ascii="Tahoma" w:hAnsi="Tahoma" w:cs="Tahoma"/>
                <w:sz w:val="20"/>
                <w:vertAlign w:val="superscript"/>
              </w:rPr>
              <w:t>3</w:t>
            </w:r>
          </w:p>
        </w:tc>
        <w:tc>
          <w:tcPr>
            <w:tcW w:w="1211" w:type="pct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53FC142A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1,5211</w:t>
            </w:r>
          </w:p>
        </w:tc>
      </w:tr>
      <w:tr w:rsidR="00BB3427" w:rsidRPr="00603F43" w14:paraId="5259B212" w14:textId="77777777" w:rsidTr="00C97019">
        <w:trPr>
          <w:trHeight w:val="340"/>
        </w:trPr>
        <w:tc>
          <w:tcPr>
            <w:tcW w:w="959" w:type="pct"/>
            <w:vMerge w:val="restart"/>
            <w:shd w:val="clear" w:color="auto" w:fill="auto"/>
            <w:vAlign w:val="center"/>
          </w:tcPr>
          <w:p w14:paraId="40273646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Čiščenje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greznic</w:t>
            </w:r>
            <w:proofErr w:type="spellEnd"/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14:paraId="3B59DEF1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Prevalje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1CA9048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Omrežnina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(DN20)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30DCDA2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priklj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3969186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1,8110</w:t>
            </w:r>
          </w:p>
        </w:tc>
      </w:tr>
      <w:tr w:rsidR="00BB3427" w:rsidRPr="00603F43" w14:paraId="72B4A09D" w14:textId="77777777" w:rsidTr="00C97019">
        <w:trPr>
          <w:trHeight w:val="340"/>
        </w:trPr>
        <w:tc>
          <w:tcPr>
            <w:tcW w:w="959" w:type="pct"/>
            <w:vMerge/>
            <w:shd w:val="clear" w:color="auto" w:fill="auto"/>
            <w:vAlign w:val="center"/>
          </w:tcPr>
          <w:p w14:paraId="5611480F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14:paraId="70065A63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pct"/>
            <w:shd w:val="clear" w:color="auto" w:fill="EDEDED" w:themeFill="accent3" w:themeFillTint="33"/>
            <w:vAlign w:val="center"/>
          </w:tcPr>
          <w:p w14:paraId="3EC67A3B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BB3427">
              <w:rPr>
                <w:rFonts w:ascii="Tahoma" w:hAnsi="Tahoma" w:cs="Tahoma"/>
                <w:sz w:val="20"/>
              </w:rPr>
              <w:t>Cena</w:t>
            </w:r>
            <w:proofErr w:type="spellEnd"/>
            <w:r w:rsidRPr="00BB342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B3427">
              <w:rPr>
                <w:rFonts w:ascii="Tahoma" w:hAnsi="Tahoma" w:cs="Tahoma"/>
                <w:sz w:val="20"/>
              </w:rPr>
              <w:t>storitve</w:t>
            </w:r>
            <w:proofErr w:type="spellEnd"/>
          </w:p>
        </w:tc>
        <w:tc>
          <w:tcPr>
            <w:tcW w:w="731" w:type="pct"/>
            <w:shd w:val="clear" w:color="auto" w:fill="EDEDED" w:themeFill="accent3" w:themeFillTint="33"/>
            <w:vAlign w:val="center"/>
          </w:tcPr>
          <w:p w14:paraId="5F4C036C" w14:textId="77777777" w:rsidR="00BB3427" w:rsidRPr="00BB3427" w:rsidRDefault="00BB3427" w:rsidP="00C97019">
            <w:pPr>
              <w:contextualSpacing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€/m</w:t>
            </w:r>
            <w:r w:rsidRPr="00BB3427">
              <w:rPr>
                <w:rFonts w:ascii="Tahoma" w:hAnsi="Tahoma" w:cs="Tahoma"/>
                <w:sz w:val="20"/>
                <w:vertAlign w:val="superscript"/>
              </w:rPr>
              <w:t>3</w:t>
            </w:r>
          </w:p>
        </w:tc>
        <w:tc>
          <w:tcPr>
            <w:tcW w:w="1211" w:type="pct"/>
            <w:shd w:val="clear" w:color="auto" w:fill="EDEDED" w:themeFill="accent3" w:themeFillTint="33"/>
            <w:vAlign w:val="center"/>
          </w:tcPr>
          <w:p w14:paraId="022C25D9" w14:textId="77777777" w:rsidR="00BB3427" w:rsidRPr="00BB3427" w:rsidRDefault="00BB3427" w:rsidP="00C97019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3427">
              <w:rPr>
                <w:rFonts w:ascii="Tahoma" w:hAnsi="Tahoma" w:cs="Tahoma"/>
                <w:sz w:val="20"/>
              </w:rPr>
              <w:t>0,3970</w:t>
            </w:r>
          </w:p>
        </w:tc>
      </w:tr>
    </w:tbl>
    <w:p w14:paraId="12BFF20B" w14:textId="77777777" w:rsidR="00BB3427" w:rsidRDefault="00BB3427" w:rsidP="00E75F00">
      <w:pPr>
        <w:spacing w:after="0" w:line="240" w:lineRule="auto"/>
        <w:rPr>
          <w:rFonts w:ascii="Tahoma" w:hAnsi="Tahoma" w:cs="Tahoma"/>
          <w:b/>
          <w:i/>
          <w:u w:val="single"/>
          <w:lang w:val="sl-SI"/>
        </w:rPr>
      </w:pPr>
    </w:p>
    <w:p w14:paraId="68B5396E" w14:textId="77777777" w:rsidR="00BB3427" w:rsidRDefault="00BB3427" w:rsidP="00E75F00">
      <w:pPr>
        <w:spacing w:after="0" w:line="240" w:lineRule="auto"/>
        <w:rPr>
          <w:rFonts w:ascii="Tahoma" w:hAnsi="Tahoma" w:cs="Tahoma"/>
          <w:b/>
          <w:i/>
          <w:u w:val="single"/>
          <w:lang w:val="sl-SI"/>
        </w:rPr>
      </w:pPr>
    </w:p>
    <w:p w14:paraId="0B691BF6" w14:textId="6C9E83FA" w:rsidR="00BB3427" w:rsidRDefault="005E28C9" w:rsidP="005E28C9">
      <w:pPr>
        <w:spacing w:after="0" w:line="240" w:lineRule="auto"/>
        <w:jc w:val="both"/>
        <w:rPr>
          <w:rFonts w:ascii="Tahoma" w:hAnsi="Tahoma" w:cs="Tahoma"/>
          <w:lang w:val="sl-SI"/>
        </w:rPr>
      </w:pPr>
      <w:r w:rsidRPr="005E28C9">
        <w:rPr>
          <w:rFonts w:ascii="Tahoma" w:hAnsi="Tahoma" w:cs="Tahoma"/>
          <w:lang w:val="sl-SI"/>
        </w:rPr>
        <w:t>Priloga: Elaborat o oblikovanju cene izvajanja storitev obveznih občinskih gospodarskih javnih služb varstva okolja za leto 2023</w:t>
      </w:r>
    </w:p>
    <w:p w14:paraId="183A0F99" w14:textId="77777777" w:rsidR="005E28C9" w:rsidRDefault="005E28C9" w:rsidP="005E28C9">
      <w:pPr>
        <w:spacing w:after="0" w:line="240" w:lineRule="auto"/>
        <w:jc w:val="both"/>
        <w:rPr>
          <w:rFonts w:ascii="Tahoma" w:hAnsi="Tahoma" w:cs="Tahoma"/>
          <w:lang w:val="sl-SI"/>
        </w:rPr>
      </w:pPr>
    </w:p>
    <w:p w14:paraId="06752B24" w14:textId="77777777" w:rsidR="005E28C9" w:rsidRDefault="005E28C9" w:rsidP="005E28C9">
      <w:pPr>
        <w:spacing w:after="0" w:line="240" w:lineRule="auto"/>
        <w:jc w:val="both"/>
        <w:rPr>
          <w:rFonts w:ascii="Tahoma" w:hAnsi="Tahoma" w:cs="Tahoma"/>
          <w:lang w:val="sl-SI"/>
        </w:rPr>
      </w:pPr>
    </w:p>
    <w:p w14:paraId="5804AD4A" w14:textId="77777777" w:rsidR="005E28C9" w:rsidRPr="005E28C9" w:rsidRDefault="005E28C9" w:rsidP="005E28C9">
      <w:pPr>
        <w:spacing w:after="0" w:line="240" w:lineRule="auto"/>
        <w:jc w:val="both"/>
        <w:rPr>
          <w:rFonts w:ascii="Tahoma" w:hAnsi="Tahoma" w:cs="Tahoma"/>
          <w:lang w:val="sl-SI"/>
        </w:rPr>
      </w:pPr>
    </w:p>
    <w:p w14:paraId="23B4A023" w14:textId="77777777" w:rsidR="0058458B" w:rsidRPr="003E2EA0" w:rsidRDefault="0058458B" w:rsidP="005A2046">
      <w:pPr>
        <w:spacing w:after="0" w:line="240" w:lineRule="auto"/>
        <w:ind w:left="5954"/>
        <w:rPr>
          <w:rFonts w:ascii="Tahoma" w:hAnsi="Tahoma" w:cs="Tahoma"/>
          <w:bCs/>
        </w:rPr>
      </w:pPr>
    </w:p>
    <w:p w14:paraId="637016AF" w14:textId="77777777" w:rsidR="0058458B" w:rsidRPr="003E2EA0" w:rsidRDefault="0058458B" w:rsidP="005A2046">
      <w:pPr>
        <w:spacing w:after="0" w:line="240" w:lineRule="auto"/>
        <w:ind w:left="5954"/>
        <w:rPr>
          <w:rFonts w:ascii="Tahoma" w:hAnsi="Tahoma" w:cs="Tahoma"/>
          <w:bCs/>
        </w:rPr>
      </w:pPr>
    </w:p>
    <w:p w14:paraId="6F1900A0" w14:textId="207C9F98" w:rsidR="005A2046" w:rsidRPr="003E2EA0" w:rsidRDefault="005A2046" w:rsidP="005A2046">
      <w:pPr>
        <w:spacing w:after="0" w:line="240" w:lineRule="auto"/>
        <w:ind w:left="5954"/>
        <w:rPr>
          <w:rFonts w:ascii="Tahoma" w:hAnsi="Tahoma" w:cs="Tahoma"/>
          <w:bCs/>
        </w:rPr>
      </w:pPr>
      <w:r w:rsidRPr="003E2EA0">
        <w:rPr>
          <w:rFonts w:ascii="Tahoma" w:hAnsi="Tahoma" w:cs="Tahoma"/>
          <w:bCs/>
        </w:rPr>
        <w:t>Župan Občine Prevalje</w:t>
      </w:r>
    </w:p>
    <w:p w14:paraId="31E4F784" w14:textId="166871C7" w:rsidR="005A2046" w:rsidRPr="00DD5B86" w:rsidRDefault="00DD5B86" w:rsidP="005A2046">
      <w:pPr>
        <w:spacing w:after="0" w:line="240" w:lineRule="auto"/>
        <w:ind w:left="5954"/>
        <w:rPr>
          <w:rFonts w:ascii="Tahoma" w:hAnsi="Tahoma" w:cs="Tahoma"/>
          <w:b/>
          <w:bCs/>
          <w:lang w:val="sl-SI"/>
        </w:rPr>
      </w:pPr>
      <w:r>
        <w:rPr>
          <w:rFonts w:ascii="Tahoma" w:hAnsi="Tahoma" w:cs="Tahoma"/>
          <w:b/>
          <w:bCs/>
        </w:rPr>
        <w:t xml:space="preserve">   </w:t>
      </w:r>
      <w:r w:rsidR="005A2046" w:rsidRPr="00DD5B86">
        <w:rPr>
          <w:rFonts w:ascii="Tahoma" w:hAnsi="Tahoma" w:cs="Tahoma"/>
          <w:b/>
          <w:bCs/>
        </w:rPr>
        <w:t>dr. Matija Tasič</w:t>
      </w:r>
    </w:p>
    <w:sectPr w:rsidR="005A2046" w:rsidRPr="00DD5B86" w:rsidSect="006640AF">
      <w:headerReference w:type="default" r:id="rId7"/>
      <w:footerReference w:type="default" r:id="rId8"/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CB76" w14:textId="77777777" w:rsidR="00DB4796" w:rsidRDefault="00DB4796">
      <w:pPr>
        <w:spacing w:after="0" w:line="240" w:lineRule="auto"/>
      </w:pPr>
      <w:r>
        <w:separator/>
      </w:r>
    </w:p>
  </w:endnote>
  <w:endnote w:type="continuationSeparator" w:id="0">
    <w:p w14:paraId="5792060D" w14:textId="77777777" w:rsidR="00DB4796" w:rsidRDefault="00DB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CD30" w14:textId="77777777" w:rsidR="0067699F" w:rsidRDefault="00351B44">
    <w:pPr>
      <w:pStyle w:val="Noga"/>
      <w:jc w:val="center"/>
    </w:pPr>
    <w:r>
      <w:fldChar w:fldCharType="begin"/>
    </w:r>
    <w:r>
      <w:instrText xml:space="preserve"> PAGE </w:instrText>
    </w:r>
    <w:r>
      <w:fldChar w:fldCharType="separate"/>
    </w:r>
    <w:r w:rsidR="00022C86">
      <w:rPr>
        <w:noProof/>
      </w:rPr>
      <w:t>2</w:t>
    </w:r>
    <w:r>
      <w:fldChar w:fldCharType="end"/>
    </w:r>
  </w:p>
  <w:p w14:paraId="75827C08" w14:textId="77777777" w:rsidR="0067699F" w:rsidRDefault="00022C86">
    <w:pPr>
      <w:pStyle w:val="Noga"/>
      <w:tabs>
        <w:tab w:val="clear" w:pos="4536"/>
        <w:tab w:val="clear" w:pos="9072"/>
        <w:tab w:val="left" w:pos="19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6E619" w14:textId="77777777" w:rsidR="00DB4796" w:rsidRDefault="00DB4796">
      <w:pPr>
        <w:spacing w:after="0" w:line="240" w:lineRule="auto"/>
      </w:pPr>
      <w:r>
        <w:separator/>
      </w:r>
    </w:p>
  </w:footnote>
  <w:footnote w:type="continuationSeparator" w:id="0">
    <w:p w14:paraId="3EA81C63" w14:textId="77777777" w:rsidR="00DB4796" w:rsidRDefault="00DB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D019" w14:textId="1190F7D7" w:rsidR="00E75F00" w:rsidRPr="000D2C95" w:rsidRDefault="00E75F00" w:rsidP="00E75F00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  <w:lang w:val="sl-SI" w:eastAsia="sl-SI" w:bidi="ar-SA"/>
      </w:rPr>
      <w:drawing>
        <wp:anchor distT="0" distB="0" distL="114300" distR="114300" simplePos="0" relativeHeight="251659264" behindDoc="0" locked="0" layoutInCell="1" allowOverlap="1" wp14:anchorId="74CDD503" wp14:editId="43336DAA">
          <wp:simplePos x="0" y="0"/>
          <wp:positionH relativeFrom="column">
            <wp:posOffset>1043305</wp:posOffset>
          </wp:positionH>
          <wp:positionV relativeFrom="paragraph">
            <wp:posOffset>-344805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proofErr w:type="spellStart"/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>ina</w:t>
    </w:r>
    <w:proofErr w:type="spellEnd"/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 </w:t>
    </w:r>
    <w:r>
      <w:rPr>
        <w:rFonts w:ascii="BernhardMod BT" w:hAnsi="BernhardMod BT" w:cs="BernhardMod BT"/>
        <w:color w:val="0000FF"/>
        <w:sz w:val="56"/>
        <w:szCs w:val="56"/>
      </w:rPr>
      <w:t xml:space="preserve">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14:paraId="04491A3D" w14:textId="77777777" w:rsidR="00E75F00" w:rsidRDefault="00E75F00" w:rsidP="00E75F00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14:paraId="038050C2" w14:textId="77777777" w:rsidR="00E75F00" w:rsidRPr="007C116C" w:rsidRDefault="00E75F00" w:rsidP="00E75F00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r w:rsidRPr="007C116C">
      <w:rPr>
        <w:rFonts w:ascii="Tahoma" w:hAnsi="Tahoma" w:cs="Tahoma"/>
        <w:b/>
        <w:bCs/>
        <w:sz w:val="19"/>
        <w:szCs w:val="19"/>
      </w:rPr>
      <w:t xml:space="preserve">OBČINA </w:t>
    </w:r>
    <w:proofErr w:type="gramStart"/>
    <w:r w:rsidRPr="007C116C">
      <w:rPr>
        <w:rFonts w:ascii="Tahoma" w:hAnsi="Tahoma" w:cs="Tahoma"/>
        <w:b/>
        <w:bCs/>
        <w:sz w:val="19"/>
        <w:szCs w:val="19"/>
      </w:rPr>
      <w:t>PREVALJE ,</w:t>
    </w:r>
    <w:proofErr w:type="gramEnd"/>
    <w:r w:rsidRPr="007C116C">
      <w:rPr>
        <w:rFonts w:ascii="Tahoma" w:hAnsi="Tahoma" w:cs="Tahoma"/>
        <w:b/>
        <w:bCs/>
        <w:sz w:val="19"/>
        <w:szCs w:val="19"/>
      </w:rPr>
      <w:t xml:space="preserve"> </w:t>
    </w:r>
    <w:proofErr w:type="spellStart"/>
    <w:r w:rsidRPr="007C116C">
      <w:rPr>
        <w:rFonts w:ascii="Tahoma" w:hAnsi="Tahoma" w:cs="Tahoma"/>
        <w:b/>
        <w:bCs/>
        <w:sz w:val="19"/>
        <w:szCs w:val="19"/>
      </w:rPr>
      <w:t>Trg</w:t>
    </w:r>
    <w:proofErr w:type="spellEnd"/>
    <w:r w:rsidRPr="007C116C">
      <w:rPr>
        <w:rFonts w:ascii="Tahoma" w:hAnsi="Tahoma" w:cs="Tahoma"/>
        <w:b/>
        <w:bCs/>
        <w:sz w:val="19"/>
        <w:szCs w:val="19"/>
      </w:rPr>
      <w:t xml:space="preserve">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14:paraId="6CA6D799" w14:textId="77777777" w:rsidR="00E75F00" w:rsidRPr="00770409" w:rsidRDefault="00E75F00" w:rsidP="00E75F00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  <w:lang w:val="de-AT"/>
      </w:rPr>
    </w:pPr>
    <w:r w:rsidRPr="00770409">
      <w:rPr>
        <w:rFonts w:ascii="Tahoma" w:hAnsi="Tahoma" w:cs="Tahoma"/>
        <w:b/>
        <w:bCs/>
        <w:sz w:val="10"/>
        <w:szCs w:val="10"/>
        <w:lang w:val="de-AT"/>
      </w:rPr>
      <w:t>tel.</w:t>
    </w:r>
    <w:r w:rsidRPr="00770409">
      <w:rPr>
        <w:rFonts w:ascii="Tahoma" w:hAnsi="Tahoma" w:cs="Tahoma"/>
        <w:sz w:val="10"/>
        <w:szCs w:val="10"/>
        <w:lang w:val="de-AT"/>
      </w:rPr>
      <w:t>:</w:t>
    </w:r>
    <w:r w:rsidRPr="00770409">
      <w:rPr>
        <w:rFonts w:ascii="Tahoma" w:hAnsi="Tahoma" w:cs="Tahoma"/>
        <w:sz w:val="16"/>
        <w:szCs w:val="16"/>
        <w:lang w:val="de-AT"/>
      </w:rPr>
      <w:t xml:space="preserve"> </w:t>
    </w:r>
    <w:r w:rsidRPr="00770409">
      <w:rPr>
        <w:rFonts w:ascii="Tahoma" w:hAnsi="Tahoma" w:cs="Tahoma"/>
        <w:sz w:val="14"/>
        <w:szCs w:val="14"/>
        <w:lang w:val="de-AT"/>
      </w:rPr>
      <w:t>(02)824 61 00</w:t>
    </w:r>
    <w:r w:rsidRPr="00770409">
      <w:rPr>
        <w:rFonts w:ascii="Tahoma" w:hAnsi="Tahoma" w:cs="Tahoma"/>
        <w:sz w:val="16"/>
        <w:szCs w:val="16"/>
        <w:lang w:val="de-AT"/>
      </w:rPr>
      <w:t xml:space="preserve">, </w:t>
    </w:r>
    <w:r w:rsidRPr="00770409">
      <w:rPr>
        <w:rFonts w:ascii="Tahoma" w:hAnsi="Tahoma" w:cs="Tahoma"/>
        <w:b/>
        <w:bCs/>
        <w:sz w:val="10"/>
        <w:szCs w:val="10"/>
        <w:lang w:val="de-AT"/>
      </w:rPr>
      <w:t>e-</w:t>
    </w:r>
    <w:proofErr w:type="spellStart"/>
    <w:r w:rsidRPr="00770409">
      <w:rPr>
        <w:rFonts w:ascii="Tahoma" w:hAnsi="Tahoma" w:cs="Tahoma"/>
        <w:b/>
        <w:bCs/>
        <w:sz w:val="10"/>
        <w:szCs w:val="10"/>
        <w:lang w:val="de-AT"/>
      </w:rPr>
      <w:t>pošta</w:t>
    </w:r>
    <w:proofErr w:type="spellEnd"/>
    <w:r w:rsidRPr="00770409">
      <w:rPr>
        <w:rFonts w:ascii="Tahoma" w:hAnsi="Tahoma" w:cs="Tahoma"/>
        <w:b/>
        <w:bCs/>
        <w:sz w:val="10"/>
        <w:szCs w:val="10"/>
        <w:lang w:val="de-AT"/>
      </w:rPr>
      <w:t xml:space="preserve"> : </w:t>
    </w:r>
    <w:hyperlink r:id="rId2" w:history="1">
      <w:r w:rsidRPr="00770409">
        <w:rPr>
          <w:rStyle w:val="Hiperpovezava"/>
          <w:rFonts w:ascii="Tahoma" w:hAnsi="Tahoma" w:cs="Tahoma"/>
          <w:sz w:val="14"/>
          <w:szCs w:val="14"/>
          <w:lang w:val="de-AT"/>
        </w:rPr>
        <w:t>obcina@prevalje.si</w:t>
      </w:r>
    </w:hyperlink>
    <w:r w:rsidRPr="00770409">
      <w:rPr>
        <w:rFonts w:ascii="Tahoma" w:hAnsi="Tahoma" w:cs="Tahoma"/>
        <w:sz w:val="16"/>
        <w:szCs w:val="16"/>
        <w:lang w:val="de-AT"/>
      </w:rPr>
      <w:t xml:space="preserve"> </w:t>
    </w:r>
  </w:p>
  <w:p w14:paraId="50A878C5" w14:textId="77777777" w:rsidR="00E75F00" w:rsidRPr="00770409" w:rsidRDefault="00E75F00" w:rsidP="00E75F00">
    <w:pPr>
      <w:pStyle w:val="Glava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F"/>
    <w:rsid w:val="00022C86"/>
    <w:rsid w:val="000764A1"/>
    <w:rsid w:val="000B7C36"/>
    <w:rsid w:val="000E7FA8"/>
    <w:rsid w:val="000F52AB"/>
    <w:rsid w:val="00137735"/>
    <w:rsid w:val="001661A3"/>
    <w:rsid w:val="001A22CB"/>
    <w:rsid w:val="00266126"/>
    <w:rsid w:val="002758B7"/>
    <w:rsid w:val="002B78A1"/>
    <w:rsid w:val="002D30E2"/>
    <w:rsid w:val="002F27A6"/>
    <w:rsid w:val="00320696"/>
    <w:rsid w:val="00342732"/>
    <w:rsid w:val="00351B44"/>
    <w:rsid w:val="003B752F"/>
    <w:rsid w:val="003B7CFC"/>
    <w:rsid w:val="003E2EA0"/>
    <w:rsid w:val="004267AE"/>
    <w:rsid w:val="00480E4C"/>
    <w:rsid w:val="004F4BED"/>
    <w:rsid w:val="00522923"/>
    <w:rsid w:val="0054588D"/>
    <w:rsid w:val="005623B6"/>
    <w:rsid w:val="00581C5A"/>
    <w:rsid w:val="0058458B"/>
    <w:rsid w:val="005A2046"/>
    <w:rsid w:val="005A3B8D"/>
    <w:rsid w:val="005E28C9"/>
    <w:rsid w:val="006138D4"/>
    <w:rsid w:val="00660CBA"/>
    <w:rsid w:val="006640AF"/>
    <w:rsid w:val="00697F75"/>
    <w:rsid w:val="006C54BC"/>
    <w:rsid w:val="006F2349"/>
    <w:rsid w:val="006F3AD1"/>
    <w:rsid w:val="00704143"/>
    <w:rsid w:val="007101B1"/>
    <w:rsid w:val="007225ED"/>
    <w:rsid w:val="00740114"/>
    <w:rsid w:val="00762C02"/>
    <w:rsid w:val="00770409"/>
    <w:rsid w:val="00770E55"/>
    <w:rsid w:val="007F30BF"/>
    <w:rsid w:val="008716A0"/>
    <w:rsid w:val="008B01BA"/>
    <w:rsid w:val="008C3802"/>
    <w:rsid w:val="008D0E53"/>
    <w:rsid w:val="008D1E06"/>
    <w:rsid w:val="008F3942"/>
    <w:rsid w:val="009A7EFD"/>
    <w:rsid w:val="009E1E51"/>
    <w:rsid w:val="009E70E5"/>
    <w:rsid w:val="00A063AB"/>
    <w:rsid w:val="00A1016E"/>
    <w:rsid w:val="00A16D23"/>
    <w:rsid w:val="00A43F80"/>
    <w:rsid w:val="00A70BAA"/>
    <w:rsid w:val="00B80FDD"/>
    <w:rsid w:val="00B8191D"/>
    <w:rsid w:val="00B91633"/>
    <w:rsid w:val="00B961A1"/>
    <w:rsid w:val="00BB3427"/>
    <w:rsid w:val="00BC04A4"/>
    <w:rsid w:val="00BC3EE3"/>
    <w:rsid w:val="00BE1508"/>
    <w:rsid w:val="00C00AB8"/>
    <w:rsid w:val="00C04376"/>
    <w:rsid w:val="00C04BB6"/>
    <w:rsid w:val="00C1030D"/>
    <w:rsid w:val="00C115F2"/>
    <w:rsid w:val="00C62E7A"/>
    <w:rsid w:val="00C71A30"/>
    <w:rsid w:val="00CF4D54"/>
    <w:rsid w:val="00D1126C"/>
    <w:rsid w:val="00D431BC"/>
    <w:rsid w:val="00D86A76"/>
    <w:rsid w:val="00DB4796"/>
    <w:rsid w:val="00DC63AC"/>
    <w:rsid w:val="00DD5B86"/>
    <w:rsid w:val="00DE21D7"/>
    <w:rsid w:val="00DF5929"/>
    <w:rsid w:val="00E5685B"/>
    <w:rsid w:val="00E5701C"/>
    <w:rsid w:val="00E75F00"/>
    <w:rsid w:val="00EB53C7"/>
    <w:rsid w:val="00ED08BB"/>
    <w:rsid w:val="00ED47DA"/>
    <w:rsid w:val="00F05E5F"/>
    <w:rsid w:val="00F119F4"/>
    <w:rsid w:val="00F17DFB"/>
    <w:rsid w:val="00F525E5"/>
    <w:rsid w:val="00F719D1"/>
    <w:rsid w:val="00FA3876"/>
    <w:rsid w:val="00FD0B7E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34F71C"/>
  <w15:chartTrackingRefBased/>
  <w15:docId w15:val="{BFCA42AC-7415-4853-AD0D-683CD9B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1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6640AF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sl-SI" w:bidi="ar-SA"/>
    </w:rPr>
  </w:style>
  <w:style w:type="character" w:customStyle="1" w:styleId="NogaZnak">
    <w:name w:val="Noga Znak"/>
    <w:basedOn w:val="Privzetapisavaodstavka"/>
    <w:link w:val="Noga"/>
    <w:rsid w:val="006640AF"/>
    <w:rPr>
      <w:rFonts w:ascii="Calibri" w:eastAsia="Times New Roman" w:hAnsi="Calibri" w:cs="Times New Roman"/>
      <w:sz w:val="21"/>
      <w:szCs w:val="21"/>
      <w:lang w:val="sl-SI" w:bidi="ar-SA"/>
    </w:rPr>
  </w:style>
  <w:style w:type="paragraph" w:styleId="Glava">
    <w:name w:val="header"/>
    <w:basedOn w:val="Navaden"/>
    <w:link w:val="GlavaZnak"/>
    <w:unhideWhenUsed/>
    <w:rsid w:val="00E7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5F00"/>
  </w:style>
  <w:style w:type="character" w:styleId="Hiperpovezava">
    <w:name w:val="Hyperlink"/>
    <w:rsid w:val="00E75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6B713D-A045-48F9-B473-A8D54FD7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Eva</cp:lastModifiedBy>
  <cp:revision>29</cp:revision>
  <dcterms:created xsi:type="dcterms:W3CDTF">2021-11-25T13:47:00Z</dcterms:created>
  <dcterms:modified xsi:type="dcterms:W3CDTF">2023-01-19T12:10:00Z</dcterms:modified>
</cp:coreProperties>
</file>