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7B6" w:rsidRPr="00CD0C59" w:rsidRDefault="001737B6" w:rsidP="001737B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CD0C59">
        <w:rPr>
          <w:rFonts w:ascii="Arial" w:hAnsi="Arial" w:cs="Arial"/>
          <w:sz w:val="20"/>
          <w:szCs w:val="20"/>
        </w:rPr>
        <w:t>Številka:</w:t>
      </w:r>
      <w:r w:rsidRPr="00CD0C59">
        <w:rPr>
          <w:rFonts w:ascii="Arial" w:hAnsi="Arial" w:cs="Arial"/>
          <w:sz w:val="20"/>
          <w:szCs w:val="20"/>
        </w:rPr>
        <w:tab/>
      </w:r>
      <w:r w:rsidR="007D68A7">
        <w:rPr>
          <w:rFonts w:ascii="Arial" w:hAnsi="Arial" w:cs="Arial"/>
          <w:sz w:val="20"/>
          <w:szCs w:val="20"/>
        </w:rPr>
        <w:t>371-8</w:t>
      </w:r>
      <w:r w:rsidR="002B135A">
        <w:rPr>
          <w:rFonts w:ascii="Arial" w:hAnsi="Arial" w:cs="Arial"/>
          <w:sz w:val="20"/>
          <w:szCs w:val="20"/>
        </w:rPr>
        <w:t>6</w:t>
      </w:r>
      <w:r w:rsidR="007D68A7">
        <w:rPr>
          <w:rFonts w:ascii="Arial" w:hAnsi="Arial" w:cs="Arial"/>
          <w:sz w:val="20"/>
          <w:szCs w:val="20"/>
        </w:rPr>
        <w:t>/202</w:t>
      </w:r>
      <w:r w:rsidR="002B135A">
        <w:rPr>
          <w:rFonts w:ascii="Arial" w:hAnsi="Arial" w:cs="Arial"/>
          <w:sz w:val="20"/>
          <w:szCs w:val="20"/>
        </w:rPr>
        <w:t>1</w:t>
      </w:r>
    </w:p>
    <w:p w:rsidR="001737B6" w:rsidRPr="00CD0C59" w:rsidRDefault="001737B6" w:rsidP="001737B6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CD0C59">
        <w:rPr>
          <w:rFonts w:ascii="Arial" w:hAnsi="Arial" w:cs="Arial"/>
          <w:sz w:val="20"/>
          <w:szCs w:val="20"/>
        </w:rPr>
        <w:t>Datum:</w:t>
      </w:r>
      <w:r w:rsidRPr="00CD0C59">
        <w:rPr>
          <w:rFonts w:ascii="Arial" w:hAnsi="Arial" w:cs="Arial"/>
          <w:sz w:val="20"/>
          <w:szCs w:val="20"/>
        </w:rPr>
        <w:tab/>
      </w:r>
      <w:r w:rsidRPr="00CD0C59">
        <w:rPr>
          <w:rFonts w:ascii="Arial" w:hAnsi="Arial" w:cs="Arial"/>
          <w:sz w:val="20"/>
          <w:szCs w:val="20"/>
        </w:rPr>
        <w:tab/>
      </w:r>
      <w:r w:rsidR="002B135A">
        <w:rPr>
          <w:rFonts w:ascii="Arial" w:hAnsi="Arial" w:cs="Arial"/>
          <w:sz w:val="20"/>
          <w:szCs w:val="20"/>
        </w:rPr>
        <w:t>3</w:t>
      </w:r>
      <w:r w:rsidR="007D68A7">
        <w:rPr>
          <w:rFonts w:ascii="Arial" w:hAnsi="Arial" w:cs="Arial"/>
          <w:sz w:val="20"/>
          <w:szCs w:val="20"/>
        </w:rPr>
        <w:t xml:space="preserve">. </w:t>
      </w:r>
      <w:r w:rsidR="002B135A">
        <w:rPr>
          <w:rFonts w:ascii="Arial" w:hAnsi="Arial" w:cs="Arial"/>
          <w:sz w:val="20"/>
          <w:szCs w:val="20"/>
        </w:rPr>
        <w:t>6</w:t>
      </w:r>
      <w:r w:rsidR="007D68A7">
        <w:rPr>
          <w:rFonts w:ascii="Arial" w:hAnsi="Arial" w:cs="Arial"/>
          <w:sz w:val="20"/>
          <w:szCs w:val="20"/>
        </w:rPr>
        <w:t>. 2021</w:t>
      </w:r>
    </w:p>
    <w:p w:rsidR="00D85A2F" w:rsidRPr="00ED1A27" w:rsidRDefault="00D85A2F" w:rsidP="00ED1A27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:rsidR="001825F8" w:rsidRPr="00ED1A27" w:rsidRDefault="004C5A34" w:rsidP="00ED1A2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ED1A27">
        <w:rPr>
          <w:rFonts w:ascii="Arial" w:hAnsi="Arial" w:cs="Arial"/>
          <w:sz w:val="20"/>
          <w:szCs w:val="20"/>
        </w:rPr>
        <w:t>Mestni svet</w:t>
      </w:r>
    </w:p>
    <w:p w:rsidR="001825F8" w:rsidRPr="00ED1A27" w:rsidRDefault="004C5A34" w:rsidP="00ED1A2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ED1A27">
        <w:rPr>
          <w:rFonts w:ascii="Arial" w:hAnsi="Arial" w:cs="Arial"/>
          <w:sz w:val="20"/>
          <w:szCs w:val="20"/>
        </w:rPr>
        <w:t>Mestne občine Ptuj</w:t>
      </w:r>
    </w:p>
    <w:p w:rsidR="001825F8" w:rsidRPr="00ED1A27" w:rsidRDefault="001825F8" w:rsidP="00ED1A27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0"/>
          <w:szCs w:val="20"/>
        </w:rPr>
      </w:pPr>
    </w:p>
    <w:p w:rsidR="001825F8" w:rsidRPr="00ED1A27" w:rsidRDefault="001825F8" w:rsidP="00ED1A27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5"/>
        <w:gridCol w:w="6189"/>
      </w:tblGrid>
      <w:tr w:rsidR="001825F8" w:rsidRPr="00ED1A27" w:rsidTr="000F54D9">
        <w:tc>
          <w:tcPr>
            <w:tcW w:w="3369" w:type="dxa"/>
            <w:shd w:val="clear" w:color="auto" w:fill="auto"/>
          </w:tcPr>
          <w:p w:rsidR="001825F8" w:rsidRPr="00ED1A27" w:rsidRDefault="001825F8" w:rsidP="00ED1A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1A27">
              <w:rPr>
                <w:rFonts w:ascii="Arial" w:hAnsi="Arial" w:cs="Arial"/>
                <w:b/>
                <w:sz w:val="20"/>
                <w:szCs w:val="20"/>
              </w:rPr>
              <w:t>ZADEVA:</w:t>
            </w:r>
          </w:p>
        </w:tc>
        <w:tc>
          <w:tcPr>
            <w:tcW w:w="6694" w:type="dxa"/>
            <w:shd w:val="clear" w:color="auto" w:fill="auto"/>
          </w:tcPr>
          <w:p w:rsidR="001825F8" w:rsidRPr="00ED1A27" w:rsidRDefault="001825F8" w:rsidP="00A47C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1A27">
              <w:rPr>
                <w:rFonts w:ascii="Arial" w:hAnsi="Arial" w:cs="Arial"/>
                <w:sz w:val="20"/>
                <w:szCs w:val="20"/>
              </w:rPr>
              <w:t>Predlog</w:t>
            </w:r>
            <w:r w:rsidR="007D68A7">
              <w:rPr>
                <w:rFonts w:ascii="Arial" w:hAnsi="Arial" w:cs="Arial"/>
                <w:bCs/>
                <w:sz w:val="20"/>
                <w:szCs w:val="20"/>
              </w:rPr>
              <w:t xml:space="preserve"> za obravnavo na 2</w:t>
            </w:r>
            <w:r w:rsidR="00A47C3B">
              <w:rPr>
                <w:rFonts w:ascii="Arial" w:hAnsi="Arial" w:cs="Arial"/>
                <w:bCs/>
                <w:sz w:val="20"/>
                <w:szCs w:val="20"/>
              </w:rPr>
              <w:t>7</w:t>
            </w:r>
            <w:r w:rsidRPr="00ED1A27">
              <w:rPr>
                <w:rFonts w:ascii="Arial" w:hAnsi="Arial" w:cs="Arial"/>
                <w:bCs/>
                <w:sz w:val="20"/>
                <w:szCs w:val="20"/>
              </w:rPr>
              <w:t>. redni seji Mestnega sveta Mestne občine Ptuj</w:t>
            </w:r>
          </w:p>
        </w:tc>
      </w:tr>
      <w:tr w:rsidR="001825F8" w:rsidRPr="00ED1A27" w:rsidTr="000F54D9">
        <w:tc>
          <w:tcPr>
            <w:tcW w:w="3369" w:type="dxa"/>
            <w:shd w:val="clear" w:color="auto" w:fill="auto"/>
          </w:tcPr>
          <w:p w:rsidR="001825F8" w:rsidRPr="00ED1A27" w:rsidRDefault="001825F8" w:rsidP="00ED1A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94" w:type="dxa"/>
            <w:shd w:val="clear" w:color="auto" w:fill="auto"/>
          </w:tcPr>
          <w:p w:rsidR="001825F8" w:rsidRPr="00ED1A27" w:rsidRDefault="001825F8" w:rsidP="00ED1A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25F8" w:rsidRPr="00ED1A27" w:rsidTr="000F54D9">
        <w:tc>
          <w:tcPr>
            <w:tcW w:w="3369" w:type="dxa"/>
            <w:shd w:val="clear" w:color="auto" w:fill="auto"/>
          </w:tcPr>
          <w:p w:rsidR="001825F8" w:rsidRPr="00ED1A27" w:rsidRDefault="001825F8" w:rsidP="00ED1A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D1A27">
              <w:rPr>
                <w:rFonts w:ascii="Arial" w:hAnsi="Arial" w:cs="Arial"/>
                <w:b/>
                <w:sz w:val="20"/>
                <w:szCs w:val="20"/>
              </w:rPr>
              <w:t>NASLOV:</w:t>
            </w:r>
          </w:p>
        </w:tc>
        <w:tc>
          <w:tcPr>
            <w:tcW w:w="6694" w:type="dxa"/>
            <w:shd w:val="clear" w:color="auto" w:fill="auto"/>
          </w:tcPr>
          <w:p w:rsidR="001825F8" w:rsidRPr="005C31DB" w:rsidRDefault="002B135A" w:rsidP="002B135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6956">
              <w:rPr>
                <w:rFonts w:ascii="Arial" w:hAnsi="Arial" w:cs="Arial"/>
                <w:b/>
                <w:bCs/>
                <w:sz w:val="20"/>
                <w:szCs w:val="20"/>
              </w:rPr>
              <w:t>Predlog Sklepa o potrditvi Dokumenta identifikacije investicijskega projekta (DIIP) »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Obnova ceste LC 328091 od križišča z Raičevo ulico do trgovine na </w:t>
            </w:r>
            <w:r w:rsidR="0078119D">
              <w:rPr>
                <w:rFonts w:ascii="Arial" w:hAnsi="Arial" w:cs="Arial"/>
                <w:b/>
                <w:bCs/>
                <w:sz w:val="20"/>
                <w:szCs w:val="20"/>
              </w:rPr>
              <w:t>Vičavi (mimo vojašnice)</w:t>
            </w:r>
            <w:r w:rsidRPr="001D6956">
              <w:rPr>
                <w:rFonts w:ascii="Arial" w:hAnsi="Arial" w:cs="Arial"/>
                <w:b/>
                <w:bCs/>
                <w:sz w:val="20"/>
                <w:szCs w:val="20"/>
              </w:rPr>
              <w:t>«</w:t>
            </w:r>
          </w:p>
        </w:tc>
      </w:tr>
      <w:tr w:rsidR="001825F8" w:rsidRPr="00ED1A27" w:rsidTr="000F54D9">
        <w:tc>
          <w:tcPr>
            <w:tcW w:w="3369" w:type="dxa"/>
            <w:shd w:val="clear" w:color="auto" w:fill="auto"/>
          </w:tcPr>
          <w:p w:rsidR="001825F8" w:rsidRPr="00ED1A27" w:rsidRDefault="001825F8" w:rsidP="00ED1A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94" w:type="dxa"/>
            <w:shd w:val="clear" w:color="auto" w:fill="auto"/>
          </w:tcPr>
          <w:p w:rsidR="001825F8" w:rsidRPr="00ED1A27" w:rsidRDefault="001825F8" w:rsidP="00ED1A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25F8" w:rsidRPr="00ED1A27" w:rsidTr="000F54D9">
        <w:tc>
          <w:tcPr>
            <w:tcW w:w="3369" w:type="dxa"/>
            <w:shd w:val="clear" w:color="auto" w:fill="auto"/>
          </w:tcPr>
          <w:p w:rsidR="001825F8" w:rsidRPr="00ED1A27" w:rsidRDefault="001825F8" w:rsidP="00ED1A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D1A27">
              <w:rPr>
                <w:rFonts w:ascii="Arial" w:hAnsi="Arial" w:cs="Arial"/>
                <w:b/>
                <w:sz w:val="20"/>
                <w:szCs w:val="20"/>
              </w:rPr>
              <w:t>PRIPRAVIL:</w:t>
            </w:r>
          </w:p>
        </w:tc>
        <w:tc>
          <w:tcPr>
            <w:tcW w:w="6694" w:type="dxa"/>
            <w:shd w:val="clear" w:color="auto" w:fill="auto"/>
          </w:tcPr>
          <w:p w:rsidR="001825F8" w:rsidRPr="00ED1A27" w:rsidRDefault="001825F8" w:rsidP="00ED1A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1A27">
              <w:rPr>
                <w:rFonts w:ascii="Arial" w:hAnsi="Arial" w:cs="Arial"/>
                <w:sz w:val="20"/>
                <w:szCs w:val="20"/>
              </w:rPr>
              <w:t>Oddelek za gospodarske dejavnosti</w:t>
            </w:r>
          </w:p>
          <w:p w:rsidR="001825F8" w:rsidRPr="00ED1A27" w:rsidRDefault="0078119D" w:rsidP="007811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Aleš Gregorec, višji svetovalec</w:t>
            </w:r>
          </w:p>
        </w:tc>
      </w:tr>
      <w:tr w:rsidR="001825F8" w:rsidRPr="00ED1A27" w:rsidTr="000F54D9">
        <w:tc>
          <w:tcPr>
            <w:tcW w:w="3369" w:type="dxa"/>
            <w:shd w:val="clear" w:color="auto" w:fill="auto"/>
          </w:tcPr>
          <w:p w:rsidR="001825F8" w:rsidRPr="00ED1A27" w:rsidRDefault="001825F8" w:rsidP="00ED1A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94" w:type="dxa"/>
            <w:shd w:val="clear" w:color="auto" w:fill="auto"/>
          </w:tcPr>
          <w:p w:rsidR="001825F8" w:rsidRPr="00ED1A27" w:rsidRDefault="001825F8" w:rsidP="00ED1A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25F8" w:rsidRPr="00ED1A27" w:rsidTr="000F54D9">
        <w:tc>
          <w:tcPr>
            <w:tcW w:w="3369" w:type="dxa"/>
            <w:shd w:val="clear" w:color="auto" w:fill="auto"/>
          </w:tcPr>
          <w:p w:rsidR="001825F8" w:rsidRPr="00ED1A27" w:rsidRDefault="001825F8" w:rsidP="00ED1A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D1A27">
              <w:rPr>
                <w:rFonts w:ascii="Arial" w:hAnsi="Arial" w:cs="Arial"/>
                <w:b/>
                <w:sz w:val="20"/>
                <w:szCs w:val="20"/>
              </w:rPr>
              <w:t xml:space="preserve">PRAVNA </w:t>
            </w:r>
          </w:p>
          <w:p w:rsidR="001825F8" w:rsidRPr="00ED1A27" w:rsidRDefault="001825F8" w:rsidP="00ED1A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D1A27">
              <w:rPr>
                <w:rFonts w:ascii="Arial" w:hAnsi="Arial" w:cs="Arial"/>
                <w:b/>
                <w:sz w:val="20"/>
                <w:szCs w:val="20"/>
              </w:rPr>
              <w:t>PODLAGA:</w:t>
            </w:r>
          </w:p>
        </w:tc>
        <w:tc>
          <w:tcPr>
            <w:tcW w:w="6694" w:type="dxa"/>
            <w:shd w:val="clear" w:color="auto" w:fill="auto"/>
          </w:tcPr>
          <w:p w:rsidR="001825F8" w:rsidRPr="00ED1A27" w:rsidRDefault="001825F8" w:rsidP="00ED1A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1A27">
              <w:rPr>
                <w:rFonts w:ascii="Arial" w:hAnsi="Arial" w:cs="Arial"/>
                <w:sz w:val="20"/>
                <w:szCs w:val="20"/>
              </w:rPr>
              <w:t>23. člen Statuta Mestne občine Ptuj (Uradni vestnik Mestne občine Ptuj, št. 9/07</w:t>
            </w:r>
            <w:r w:rsidR="00DD6EFA">
              <w:rPr>
                <w:rFonts w:ascii="Arial" w:hAnsi="Arial" w:cs="Arial"/>
                <w:sz w:val="20"/>
                <w:szCs w:val="20"/>
              </w:rPr>
              <w:t xml:space="preserve"> in 14/20) in 79</w:t>
            </w:r>
            <w:r w:rsidRPr="00ED1A27">
              <w:rPr>
                <w:rFonts w:ascii="Arial" w:hAnsi="Arial" w:cs="Arial"/>
                <w:sz w:val="20"/>
                <w:szCs w:val="20"/>
              </w:rPr>
              <w:t xml:space="preserve">. člen Poslovnika Mestnega sveta Mestne občine Ptuj (Uradni vestnik Mestne občine Ptuj, št. </w:t>
            </w:r>
            <w:r w:rsidR="00DD6EFA">
              <w:rPr>
                <w:rFonts w:ascii="Arial" w:hAnsi="Arial" w:cs="Arial"/>
                <w:sz w:val="20"/>
                <w:szCs w:val="20"/>
              </w:rPr>
              <w:t>13/20</w:t>
            </w:r>
            <w:r w:rsidRPr="00ED1A27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1825F8" w:rsidRPr="00ED1A27" w:rsidRDefault="001825F8" w:rsidP="00ED1A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25F8" w:rsidRPr="00ED1A27" w:rsidTr="000F54D9">
        <w:tc>
          <w:tcPr>
            <w:tcW w:w="3369" w:type="dxa"/>
            <w:shd w:val="clear" w:color="auto" w:fill="auto"/>
          </w:tcPr>
          <w:p w:rsidR="001825F8" w:rsidRPr="00ED1A27" w:rsidRDefault="001825F8" w:rsidP="00ED1A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D1A27">
              <w:rPr>
                <w:rFonts w:ascii="Arial" w:hAnsi="Arial" w:cs="Arial"/>
                <w:b/>
                <w:bCs/>
                <w:sz w:val="20"/>
                <w:szCs w:val="20"/>
              </w:rPr>
              <w:t>POROČEVALEC:</w:t>
            </w:r>
          </w:p>
        </w:tc>
        <w:tc>
          <w:tcPr>
            <w:tcW w:w="6694" w:type="dxa"/>
            <w:shd w:val="clear" w:color="auto" w:fill="auto"/>
          </w:tcPr>
          <w:p w:rsidR="001825F8" w:rsidRPr="00ED1A27" w:rsidRDefault="001825F8" w:rsidP="00ED1A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1A27">
              <w:rPr>
                <w:rFonts w:ascii="Arial" w:hAnsi="Arial" w:cs="Arial"/>
                <w:bCs/>
                <w:sz w:val="20"/>
                <w:szCs w:val="20"/>
              </w:rPr>
              <w:t>Andrej Trunk, vodja Oddelka za gospodarske dejavnosti</w:t>
            </w:r>
          </w:p>
        </w:tc>
      </w:tr>
      <w:tr w:rsidR="001825F8" w:rsidRPr="00ED1A27" w:rsidTr="000F54D9">
        <w:tc>
          <w:tcPr>
            <w:tcW w:w="3369" w:type="dxa"/>
            <w:shd w:val="clear" w:color="auto" w:fill="auto"/>
          </w:tcPr>
          <w:p w:rsidR="001825F8" w:rsidRPr="00ED1A27" w:rsidRDefault="001825F8" w:rsidP="00ED1A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94" w:type="dxa"/>
            <w:shd w:val="clear" w:color="auto" w:fill="auto"/>
          </w:tcPr>
          <w:p w:rsidR="001825F8" w:rsidRPr="00ED1A27" w:rsidRDefault="001825F8" w:rsidP="00ED1A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825F8" w:rsidRPr="00ED1A27" w:rsidTr="000F54D9">
        <w:tc>
          <w:tcPr>
            <w:tcW w:w="3369" w:type="dxa"/>
            <w:shd w:val="clear" w:color="auto" w:fill="auto"/>
          </w:tcPr>
          <w:p w:rsidR="001825F8" w:rsidRPr="00ED1A27" w:rsidRDefault="001825F8" w:rsidP="00ED1A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1A27">
              <w:rPr>
                <w:rFonts w:ascii="Arial" w:hAnsi="Arial" w:cs="Arial"/>
                <w:b/>
                <w:bCs/>
                <w:sz w:val="20"/>
                <w:szCs w:val="20"/>
              </w:rPr>
              <w:t>PRISTOJNO</w:t>
            </w:r>
          </w:p>
          <w:p w:rsidR="001825F8" w:rsidRPr="00ED1A27" w:rsidRDefault="001825F8" w:rsidP="00ED1A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1A27">
              <w:rPr>
                <w:rFonts w:ascii="Arial" w:hAnsi="Arial" w:cs="Arial"/>
                <w:b/>
                <w:bCs/>
                <w:sz w:val="20"/>
                <w:szCs w:val="20"/>
              </w:rPr>
              <w:t>DELOVNO TELO:</w:t>
            </w:r>
          </w:p>
        </w:tc>
        <w:tc>
          <w:tcPr>
            <w:tcW w:w="6694" w:type="dxa"/>
            <w:shd w:val="clear" w:color="auto" w:fill="auto"/>
          </w:tcPr>
          <w:p w:rsidR="001825F8" w:rsidRPr="00ED1A27" w:rsidRDefault="001825F8" w:rsidP="00ED1A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D1A27">
              <w:rPr>
                <w:rFonts w:ascii="Arial" w:hAnsi="Arial" w:cs="Arial"/>
                <w:bCs/>
                <w:sz w:val="20"/>
                <w:szCs w:val="20"/>
              </w:rPr>
              <w:t>Odbor za financ</w:t>
            </w:r>
            <w:r w:rsidR="003F563C">
              <w:rPr>
                <w:rFonts w:ascii="Arial" w:hAnsi="Arial" w:cs="Arial"/>
                <w:bCs/>
                <w:sz w:val="20"/>
                <w:szCs w:val="20"/>
              </w:rPr>
              <w:t>e, Odbor za okolje in prostor ter</w:t>
            </w:r>
            <w:r w:rsidRPr="00ED1A27">
              <w:rPr>
                <w:rFonts w:ascii="Arial" w:hAnsi="Arial" w:cs="Arial"/>
                <w:bCs/>
                <w:sz w:val="20"/>
                <w:szCs w:val="20"/>
              </w:rPr>
              <w:t xml:space="preserve"> gospodarsko infrastrukturo, Odbor za gospodarstvo</w:t>
            </w:r>
          </w:p>
          <w:p w:rsidR="001825F8" w:rsidRPr="00ED1A27" w:rsidRDefault="001825F8" w:rsidP="00ED1A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</w:tr>
      <w:tr w:rsidR="001825F8" w:rsidRPr="00ED1A27" w:rsidTr="000F54D9">
        <w:tc>
          <w:tcPr>
            <w:tcW w:w="3369" w:type="dxa"/>
            <w:shd w:val="clear" w:color="auto" w:fill="auto"/>
          </w:tcPr>
          <w:p w:rsidR="001825F8" w:rsidRPr="00ED1A27" w:rsidRDefault="001825F8" w:rsidP="00ED1A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94" w:type="dxa"/>
            <w:shd w:val="clear" w:color="auto" w:fill="auto"/>
          </w:tcPr>
          <w:p w:rsidR="001825F8" w:rsidRPr="00ED1A27" w:rsidRDefault="001825F8" w:rsidP="00ED1A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25F8" w:rsidRPr="00ED1A27" w:rsidTr="000F54D9">
        <w:tc>
          <w:tcPr>
            <w:tcW w:w="3369" w:type="dxa"/>
            <w:shd w:val="clear" w:color="auto" w:fill="auto"/>
          </w:tcPr>
          <w:p w:rsidR="001825F8" w:rsidRPr="00ED1A27" w:rsidRDefault="001825F8" w:rsidP="00ED1A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1A27">
              <w:rPr>
                <w:rFonts w:ascii="Arial" w:hAnsi="Arial" w:cs="Arial"/>
                <w:b/>
                <w:bCs/>
                <w:sz w:val="20"/>
                <w:szCs w:val="20"/>
              </w:rPr>
              <w:t>PREDLOG SKLEPA:</w:t>
            </w:r>
          </w:p>
        </w:tc>
        <w:tc>
          <w:tcPr>
            <w:tcW w:w="6694" w:type="dxa"/>
            <w:shd w:val="clear" w:color="auto" w:fill="auto"/>
          </w:tcPr>
          <w:p w:rsidR="001825F8" w:rsidRPr="00ED1A27" w:rsidRDefault="0078119D" w:rsidP="007811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26F8">
              <w:rPr>
                <w:rFonts w:ascii="Arial" w:hAnsi="Arial" w:cs="Arial"/>
                <w:sz w:val="20"/>
                <w:szCs w:val="20"/>
              </w:rPr>
              <w:t xml:space="preserve">Mestni svet Mestne občine Ptuj sprejme predlog Sklepa o potrditvi Dokumenta identifikacije investicijskega projekta (DIIP) »Obnova </w:t>
            </w:r>
            <w:r>
              <w:rPr>
                <w:rFonts w:ascii="Arial" w:hAnsi="Arial" w:cs="Arial"/>
                <w:sz w:val="20"/>
                <w:szCs w:val="20"/>
              </w:rPr>
              <w:t>ceste LC 328091 od križišča z Raičevo ulico do trgovine na Vičavi (mimo vojašnice)</w:t>
            </w:r>
            <w:r w:rsidRPr="00ED26F8">
              <w:rPr>
                <w:rFonts w:ascii="Arial" w:hAnsi="Arial" w:cs="Arial"/>
                <w:sz w:val="20"/>
                <w:szCs w:val="20"/>
              </w:rPr>
              <w:t>« v predloženem besedilu.</w:t>
            </w:r>
          </w:p>
        </w:tc>
      </w:tr>
    </w:tbl>
    <w:p w:rsidR="001825F8" w:rsidRPr="00ED1A27" w:rsidRDefault="001825F8" w:rsidP="00ED1A2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AC197B" w:rsidRDefault="00AC197B" w:rsidP="00ED1A27">
      <w:pPr>
        <w:autoSpaceDE w:val="0"/>
        <w:autoSpaceDN w:val="0"/>
        <w:adjustRightInd w:val="0"/>
        <w:spacing w:line="276" w:lineRule="auto"/>
        <w:ind w:left="6946"/>
        <w:jc w:val="center"/>
        <w:rPr>
          <w:rFonts w:ascii="Arial" w:hAnsi="Arial" w:cs="Arial"/>
          <w:bCs/>
          <w:sz w:val="20"/>
          <w:szCs w:val="20"/>
        </w:rPr>
      </w:pPr>
    </w:p>
    <w:p w:rsidR="001825F8" w:rsidRPr="00ED1A27" w:rsidRDefault="001825F8" w:rsidP="00ED1A27">
      <w:pPr>
        <w:autoSpaceDE w:val="0"/>
        <w:autoSpaceDN w:val="0"/>
        <w:adjustRightInd w:val="0"/>
        <w:spacing w:line="276" w:lineRule="auto"/>
        <w:ind w:left="6946"/>
        <w:jc w:val="center"/>
        <w:rPr>
          <w:rFonts w:ascii="Arial" w:hAnsi="Arial" w:cs="Arial"/>
          <w:bCs/>
          <w:sz w:val="20"/>
          <w:szCs w:val="20"/>
        </w:rPr>
      </w:pPr>
      <w:r w:rsidRPr="00ED1A27">
        <w:rPr>
          <w:rFonts w:ascii="Arial" w:hAnsi="Arial" w:cs="Arial"/>
          <w:bCs/>
          <w:sz w:val="20"/>
          <w:szCs w:val="20"/>
        </w:rPr>
        <w:t>Nuška Gajšek</w:t>
      </w:r>
    </w:p>
    <w:p w:rsidR="00AC197B" w:rsidRPr="00A417AB" w:rsidRDefault="001825F8" w:rsidP="00A417AB">
      <w:pPr>
        <w:autoSpaceDE w:val="0"/>
        <w:autoSpaceDN w:val="0"/>
        <w:adjustRightInd w:val="0"/>
        <w:spacing w:line="276" w:lineRule="auto"/>
        <w:ind w:left="6946"/>
        <w:jc w:val="center"/>
        <w:rPr>
          <w:rFonts w:ascii="Arial" w:hAnsi="Arial" w:cs="Arial"/>
          <w:bCs/>
          <w:sz w:val="20"/>
          <w:szCs w:val="20"/>
        </w:rPr>
      </w:pPr>
      <w:r w:rsidRPr="00ED1A27">
        <w:rPr>
          <w:rFonts w:ascii="Arial" w:hAnsi="Arial" w:cs="Arial"/>
          <w:bCs/>
          <w:sz w:val="20"/>
          <w:szCs w:val="20"/>
        </w:rPr>
        <w:t>županja</w:t>
      </w:r>
    </w:p>
    <w:p w:rsidR="00AC197B" w:rsidRDefault="00AC197B" w:rsidP="00ED1A2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AC197B" w:rsidRDefault="00AC197B" w:rsidP="00ED1A2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1825F8" w:rsidRPr="00ED1A27" w:rsidRDefault="001825F8" w:rsidP="00ED1A2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ED1A27">
        <w:rPr>
          <w:rFonts w:ascii="Arial" w:hAnsi="Arial" w:cs="Arial"/>
          <w:sz w:val="20"/>
          <w:szCs w:val="20"/>
        </w:rPr>
        <w:t>Priloge:</w:t>
      </w:r>
    </w:p>
    <w:p w:rsidR="0004786C" w:rsidRPr="00ED26F8" w:rsidRDefault="0004786C" w:rsidP="0004786C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0"/>
          <w:szCs w:val="20"/>
        </w:rPr>
      </w:pPr>
      <w:r w:rsidRPr="00ED26F8">
        <w:rPr>
          <w:rFonts w:ascii="Arial" w:hAnsi="Arial" w:cs="Arial"/>
          <w:sz w:val="20"/>
          <w:szCs w:val="20"/>
        </w:rPr>
        <w:t xml:space="preserve">Dokument identifikacije investicijskega projekta </w:t>
      </w:r>
      <w:r w:rsidRPr="00ED26F8">
        <w:rPr>
          <w:rFonts w:ascii="Arial" w:hAnsi="Arial" w:cs="Arial"/>
          <w:bCs/>
          <w:sz w:val="20"/>
          <w:szCs w:val="20"/>
        </w:rPr>
        <w:t>»</w:t>
      </w:r>
      <w:r w:rsidRPr="00ED26F8">
        <w:rPr>
          <w:rFonts w:ascii="Arial" w:hAnsi="Arial" w:cs="Arial"/>
          <w:sz w:val="20"/>
          <w:szCs w:val="20"/>
        </w:rPr>
        <w:t xml:space="preserve">Obnova </w:t>
      </w:r>
      <w:r>
        <w:rPr>
          <w:rFonts w:ascii="Arial" w:hAnsi="Arial" w:cs="Arial"/>
          <w:sz w:val="20"/>
          <w:szCs w:val="20"/>
        </w:rPr>
        <w:t>ceste LC 328091 od križišča z Raičevo ulico do trgovine na Vičavi (mimo vojašnice)</w:t>
      </w:r>
      <w:r w:rsidRPr="00ED26F8">
        <w:rPr>
          <w:rFonts w:ascii="Arial" w:hAnsi="Arial" w:cs="Arial"/>
          <w:bCs/>
          <w:sz w:val="20"/>
          <w:szCs w:val="20"/>
        </w:rPr>
        <w:t>«</w:t>
      </w:r>
    </w:p>
    <w:p w:rsidR="0004786C" w:rsidRPr="00ED26F8" w:rsidRDefault="00A47C3B" w:rsidP="0004786C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04786C" w:rsidRPr="00ED26F8">
        <w:rPr>
          <w:rFonts w:ascii="Arial" w:hAnsi="Arial" w:cs="Arial"/>
          <w:sz w:val="20"/>
          <w:szCs w:val="20"/>
        </w:rPr>
        <w:t xml:space="preserve">redlog Sklepa o potrditvi Dokumenta identifikacije investicijskega projekta (DIIP) </w:t>
      </w:r>
      <w:r w:rsidR="0004786C" w:rsidRPr="00ED26F8">
        <w:rPr>
          <w:rFonts w:ascii="Arial" w:hAnsi="Arial" w:cs="Arial"/>
          <w:bCs/>
          <w:sz w:val="20"/>
          <w:szCs w:val="20"/>
        </w:rPr>
        <w:t>»</w:t>
      </w:r>
      <w:r w:rsidR="0004786C" w:rsidRPr="00ED26F8">
        <w:rPr>
          <w:rFonts w:ascii="Arial" w:hAnsi="Arial" w:cs="Arial"/>
          <w:sz w:val="20"/>
          <w:szCs w:val="20"/>
        </w:rPr>
        <w:t xml:space="preserve">Obnova </w:t>
      </w:r>
      <w:r w:rsidR="0004786C">
        <w:rPr>
          <w:rFonts w:ascii="Arial" w:hAnsi="Arial" w:cs="Arial"/>
          <w:sz w:val="20"/>
          <w:szCs w:val="20"/>
        </w:rPr>
        <w:t>ceste LC 328091 od križišča z Raičevo ulico do trgovine na Vičavi (mimo vojašnice)</w:t>
      </w:r>
      <w:r w:rsidR="0004786C" w:rsidRPr="00ED26F8">
        <w:rPr>
          <w:rFonts w:ascii="Arial" w:hAnsi="Arial" w:cs="Arial"/>
          <w:bCs/>
          <w:sz w:val="20"/>
          <w:szCs w:val="20"/>
        </w:rPr>
        <w:t>«</w:t>
      </w:r>
    </w:p>
    <w:p w:rsidR="00097307" w:rsidRPr="00ED1A27" w:rsidRDefault="000E42C3" w:rsidP="00ED1A27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ED1A27">
        <w:rPr>
          <w:rFonts w:ascii="Arial" w:hAnsi="Arial" w:cs="Arial"/>
          <w:sz w:val="20"/>
          <w:szCs w:val="20"/>
        </w:rPr>
        <w:br w:type="page"/>
      </w:r>
      <w:r w:rsidR="00104A6C" w:rsidRPr="00ED1A27">
        <w:rPr>
          <w:rFonts w:ascii="Arial" w:hAnsi="Arial" w:cs="Arial"/>
          <w:sz w:val="20"/>
          <w:szCs w:val="20"/>
        </w:rPr>
        <w:lastRenderedPageBreak/>
        <w:t xml:space="preserve"> </w:t>
      </w:r>
      <w:r w:rsidR="00097307" w:rsidRPr="00ED1A27">
        <w:rPr>
          <w:rFonts w:ascii="Arial" w:hAnsi="Arial" w:cs="Arial"/>
          <w:sz w:val="20"/>
          <w:szCs w:val="20"/>
        </w:rPr>
        <w:t>PREDLOG</w:t>
      </w:r>
    </w:p>
    <w:p w:rsidR="007D68A7" w:rsidRPr="00CD0C59" w:rsidRDefault="007D68A7" w:rsidP="007D68A7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A417AB">
        <w:rPr>
          <w:rFonts w:ascii="Arial" w:hAnsi="Arial" w:cs="Arial"/>
          <w:sz w:val="20"/>
          <w:szCs w:val="20"/>
        </w:rPr>
        <w:t>junij</w:t>
      </w:r>
      <w:r>
        <w:rPr>
          <w:rFonts w:ascii="Arial" w:hAnsi="Arial" w:cs="Arial"/>
          <w:sz w:val="20"/>
          <w:szCs w:val="20"/>
        </w:rPr>
        <w:t xml:space="preserve"> 2021</w:t>
      </w:r>
    </w:p>
    <w:p w:rsidR="00097307" w:rsidRPr="00ED1A27" w:rsidRDefault="00097307" w:rsidP="00ED1A27">
      <w:pPr>
        <w:spacing w:line="276" w:lineRule="auto"/>
        <w:rPr>
          <w:rFonts w:ascii="Arial" w:hAnsi="Arial" w:cs="Arial"/>
          <w:sz w:val="20"/>
          <w:szCs w:val="20"/>
        </w:rPr>
      </w:pPr>
    </w:p>
    <w:p w:rsidR="00B61440" w:rsidRPr="00CD0C59" w:rsidRDefault="00B61440" w:rsidP="00B6144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D0C59">
        <w:rPr>
          <w:rFonts w:ascii="Arial" w:hAnsi="Arial" w:cs="Arial"/>
          <w:sz w:val="20"/>
          <w:szCs w:val="20"/>
        </w:rPr>
        <w:t xml:space="preserve">Na podlagi </w:t>
      </w:r>
      <w:r w:rsidR="00561EAC">
        <w:rPr>
          <w:rFonts w:ascii="Arial" w:hAnsi="Arial" w:cs="Arial"/>
          <w:sz w:val="20"/>
          <w:szCs w:val="20"/>
        </w:rPr>
        <w:t>11</w:t>
      </w:r>
      <w:r w:rsidRPr="00CD0C59">
        <w:rPr>
          <w:rFonts w:ascii="Arial" w:hAnsi="Arial" w:cs="Arial"/>
          <w:sz w:val="20"/>
          <w:szCs w:val="20"/>
        </w:rPr>
        <w:t xml:space="preserve">. in </w:t>
      </w:r>
      <w:r w:rsidR="00561EAC">
        <w:rPr>
          <w:rFonts w:ascii="Arial" w:hAnsi="Arial" w:cs="Arial"/>
          <w:sz w:val="20"/>
          <w:szCs w:val="20"/>
        </w:rPr>
        <w:t>18</w:t>
      </w:r>
      <w:r w:rsidRPr="00CD0C59">
        <w:rPr>
          <w:rFonts w:ascii="Arial" w:hAnsi="Arial" w:cs="Arial"/>
          <w:sz w:val="20"/>
          <w:szCs w:val="20"/>
        </w:rPr>
        <w:t>. člena Uredbe o enotni metodologiji za pripravo in obravnavo investicijske dokumentacije na področju javnih financ (Uradni list RS, št. 60/06, 54/10 in 27/16) in 12. člena Statuta Mestne občine Ptuj (Uradni vestnik Mestne občine Ptuj, št. 9/07</w:t>
      </w:r>
      <w:r>
        <w:rPr>
          <w:rFonts w:ascii="Arial" w:hAnsi="Arial" w:cs="Arial"/>
          <w:sz w:val="20"/>
          <w:szCs w:val="20"/>
        </w:rPr>
        <w:t xml:space="preserve"> in 14/20</w:t>
      </w:r>
      <w:r w:rsidRPr="00CD0C59">
        <w:rPr>
          <w:rFonts w:ascii="Arial" w:hAnsi="Arial" w:cs="Arial"/>
          <w:sz w:val="20"/>
          <w:szCs w:val="20"/>
        </w:rPr>
        <w:t>) je Mestni svet Mestne občine Ptuj na ___ seji, dne ___________, sprejel naslednji</w:t>
      </w:r>
    </w:p>
    <w:p w:rsidR="00A115CA" w:rsidRPr="00ED1A27" w:rsidRDefault="00A115CA" w:rsidP="00ED1A27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:rsidR="00236DD5" w:rsidRDefault="00236DD5" w:rsidP="00ED1A27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D55337" w:rsidRPr="005C31DB" w:rsidRDefault="005C31DB" w:rsidP="00ED1A27">
      <w:pPr>
        <w:spacing w:line="276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5C31DB">
        <w:rPr>
          <w:rFonts w:ascii="Arial" w:hAnsi="Arial" w:cs="Arial"/>
          <w:b/>
          <w:sz w:val="20"/>
          <w:szCs w:val="20"/>
        </w:rPr>
        <w:t>SKLEP</w:t>
      </w:r>
    </w:p>
    <w:p w:rsidR="000633CA" w:rsidRDefault="005C31DB" w:rsidP="00ED1A27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5C31DB">
        <w:rPr>
          <w:rFonts w:ascii="Arial" w:hAnsi="Arial" w:cs="Arial"/>
          <w:b/>
          <w:sz w:val="20"/>
          <w:szCs w:val="20"/>
        </w:rPr>
        <w:t xml:space="preserve">O POTRDITVI </w:t>
      </w:r>
      <w:r w:rsidR="00A417AB" w:rsidRPr="00ED26F8">
        <w:rPr>
          <w:rFonts w:ascii="Arial" w:hAnsi="Arial" w:cs="Arial"/>
          <w:b/>
          <w:sz w:val="20"/>
          <w:szCs w:val="20"/>
        </w:rPr>
        <w:t>DOKUMENTA IDENTIFIKACIJE INVESTICIJSKEGA PROJEKTA (DIIP)</w:t>
      </w:r>
      <w:r w:rsidRPr="005C31DB">
        <w:rPr>
          <w:rFonts w:ascii="Arial" w:hAnsi="Arial" w:cs="Arial"/>
          <w:b/>
          <w:sz w:val="20"/>
          <w:szCs w:val="20"/>
        </w:rPr>
        <w:t xml:space="preserve"> </w:t>
      </w:r>
    </w:p>
    <w:p w:rsidR="00D55337" w:rsidRPr="005C31DB" w:rsidRDefault="005C31DB" w:rsidP="00ED1A27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5C31DB">
        <w:rPr>
          <w:rFonts w:ascii="Arial" w:hAnsi="Arial" w:cs="Arial"/>
          <w:b/>
          <w:bCs/>
          <w:sz w:val="20"/>
          <w:szCs w:val="20"/>
        </w:rPr>
        <w:t>»</w:t>
      </w:r>
      <w:r w:rsidR="00A417AB">
        <w:rPr>
          <w:rFonts w:ascii="Arial" w:hAnsi="Arial" w:cs="Arial"/>
          <w:b/>
          <w:sz w:val="20"/>
          <w:szCs w:val="20"/>
        </w:rPr>
        <w:t>OBNOVA CESTE LC 328091 OD KRIŽIŠČA Z RAIČEVO ULICO DO TRGOVINE NA VIČAVI (MIMO VOJAŠNICE)</w:t>
      </w:r>
      <w:r w:rsidRPr="005C31DB">
        <w:rPr>
          <w:rFonts w:ascii="Arial" w:hAnsi="Arial" w:cs="Arial"/>
          <w:b/>
          <w:sz w:val="20"/>
          <w:szCs w:val="20"/>
        </w:rPr>
        <w:t>«</w:t>
      </w:r>
    </w:p>
    <w:p w:rsidR="001825F8" w:rsidRPr="00ED1A27" w:rsidRDefault="001825F8" w:rsidP="00ED1A27">
      <w:pPr>
        <w:spacing w:line="276" w:lineRule="auto"/>
        <w:jc w:val="center"/>
        <w:rPr>
          <w:rFonts w:ascii="Arial" w:hAnsi="Arial" w:cs="Arial"/>
          <w:b/>
          <w:caps/>
          <w:sz w:val="20"/>
          <w:szCs w:val="20"/>
        </w:rPr>
      </w:pPr>
    </w:p>
    <w:p w:rsidR="001825F8" w:rsidRPr="00ED1A27" w:rsidRDefault="001825F8" w:rsidP="00ED1A27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ED1A27">
        <w:rPr>
          <w:rFonts w:ascii="Arial" w:hAnsi="Arial" w:cs="Arial"/>
          <w:b/>
          <w:sz w:val="20"/>
          <w:szCs w:val="20"/>
        </w:rPr>
        <w:t>1.</w:t>
      </w:r>
    </w:p>
    <w:p w:rsidR="001825F8" w:rsidRPr="00ED1A27" w:rsidRDefault="00A417AB" w:rsidP="00ED1A2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ED26F8">
        <w:rPr>
          <w:rFonts w:ascii="Arial" w:hAnsi="Arial" w:cs="Arial"/>
          <w:sz w:val="20"/>
          <w:szCs w:val="20"/>
        </w:rPr>
        <w:t xml:space="preserve">Mestni svet Mestne občine Ptuj potrjuje Dokument identifikacije investicijskega projekta (DIIP) </w:t>
      </w:r>
      <w:r w:rsidRPr="00ED26F8">
        <w:rPr>
          <w:rFonts w:ascii="Arial" w:hAnsi="Arial" w:cs="Arial"/>
          <w:bCs/>
          <w:sz w:val="20"/>
          <w:szCs w:val="20"/>
        </w:rPr>
        <w:t>»</w:t>
      </w:r>
      <w:r w:rsidRPr="00ED26F8">
        <w:rPr>
          <w:rFonts w:ascii="Arial" w:hAnsi="Arial" w:cs="Arial"/>
          <w:sz w:val="20"/>
          <w:szCs w:val="20"/>
        </w:rPr>
        <w:t xml:space="preserve">Obnova </w:t>
      </w:r>
      <w:r>
        <w:rPr>
          <w:rFonts w:ascii="Arial" w:hAnsi="Arial" w:cs="Arial"/>
          <w:sz w:val="20"/>
          <w:szCs w:val="20"/>
        </w:rPr>
        <w:t>ceste LC 328091 od križišča z Raičevo ulico do trgovine na Vičavi (mimo vojašnice)</w:t>
      </w:r>
      <w:r w:rsidR="005C31DB" w:rsidRPr="002E4154">
        <w:rPr>
          <w:rFonts w:ascii="Arial" w:hAnsi="Arial" w:cs="Arial"/>
          <w:sz w:val="20"/>
          <w:szCs w:val="20"/>
        </w:rPr>
        <w:t>«</w:t>
      </w:r>
      <w:r w:rsidR="001825F8" w:rsidRPr="00ED1A27">
        <w:rPr>
          <w:rFonts w:ascii="Arial" w:hAnsi="Arial" w:cs="Arial"/>
          <w:bCs/>
          <w:sz w:val="20"/>
          <w:szCs w:val="20"/>
        </w:rPr>
        <w:t>.</w:t>
      </w:r>
    </w:p>
    <w:p w:rsidR="001825F8" w:rsidRPr="00ED1A27" w:rsidRDefault="001825F8" w:rsidP="00ED1A27">
      <w:pPr>
        <w:tabs>
          <w:tab w:val="left" w:pos="340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55337" w:rsidRPr="00ED1A27" w:rsidRDefault="00D55337" w:rsidP="00ED1A27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ED1A27">
        <w:rPr>
          <w:rFonts w:ascii="Arial" w:hAnsi="Arial" w:cs="Arial"/>
          <w:b/>
          <w:sz w:val="20"/>
          <w:szCs w:val="20"/>
        </w:rPr>
        <w:t>2.</w:t>
      </w:r>
    </w:p>
    <w:p w:rsidR="00D55337" w:rsidRPr="00ED1A27" w:rsidRDefault="00A417AB" w:rsidP="00ED1A2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D26F8">
        <w:rPr>
          <w:rFonts w:ascii="Arial" w:hAnsi="Arial" w:cs="Arial"/>
          <w:sz w:val="20"/>
          <w:szCs w:val="20"/>
        </w:rPr>
        <w:t>Finančna sredstva za izvedbo projekta bo Mestna občina Ptuj zagotovila iz proračuna Mestne občine Ptuj.</w:t>
      </w:r>
    </w:p>
    <w:p w:rsidR="00D55337" w:rsidRPr="00ED1A27" w:rsidRDefault="00D55337" w:rsidP="00ED1A2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55337" w:rsidRPr="00ED1A27" w:rsidRDefault="00D55337" w:rsidP="00ED1A27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ED1A27">
        <w:rPr>
          <w:rFonts w:ascii="Arial" w:hAnsi="Arial" w:cs="Arial"/>
          <w:b/>
          <w:sz w:val="20"/>
          <w:szCs w:val="20"/>
        </w:rPr>
        <w:t>3.</w:t>
      </w:r>
    </w:p>
    <w:p w:rsidR="00D55337" w:rsidRPr="00ED1A27" w:rsidRDefault="00D55337" w:rsidP="00ED1A27">
      <w:pPr>
        <w:spacing w:line="276" w:lineRule="auto"/>
        <w:rPr>
          <w:rFonts w:ascii="Arial" w:hAnsi="Arial" w:cs="Arial"/>
          <w:sz w:val="20"/>
          <w:szCs w:val="20"/>
        </w:rPr>
      </w:pPr>
      <w:r w:rsidRPr="00ED1A27">
        <w:rPr>
          <w:rFonts w:ascii="Arial" w:hAnsi="Arial" w:cs="Arial"/>
          <w:sz w:val="20"/>
          <w:szCs w:val="20"/>
        </w:rPr>
        <w:t>Ta sklep začne veljati z dnem sprejema na Mestnem svetu Mestne občine Ptuj.</w:t>
      </w:r>
    </w:p>
    <w:p w:rsidR="00D55337" w:rsidRPr="00ED1A27" w:rsidRDefault="00D55337" w:rsidP="00ED1A2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55337" w:rsidRPr="00ED1A27" w:rsidRDefault="00D55337" w:rsidP="00ED1A2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55337" w:rsidRPr="00ED1A27" w:rsidRDefault="004363F5" w:rsidP="00ED1A27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Številka: </w:t>
      </w:r>
      <w:r w:rsidR="007D68A7">
        <w:rPr>
          <w:rFonts w:ascii="Arial" w:hAnsi="Arial" w:cs="Arial"/>
          <w:sz w:val="20"/>
          <w:szCs w:val="20"/>
        </w:rPr>
        <w:t>371-8</w:t>
      </w:r>
      <w:r w:rsidR="00A417AB">
        <w:rPr>
          <w:rFonts w:ascii="Arial" w:hAnsi="Arial" w:cs="Arial"/>
          <w:sz w:val="20"/>
          <w:szCs w:val="20"/>
        </w:rPr>
        <w:t>6</w:t>
      </w:r>
      <w:r w:rsidR="007D68A7" w:rsidRPr="00CD0C59">
        <w:rPr>
          <w:rFonts w:ascii="Arial" w:hAnsi="Arial" w:cs="Arial"/>
          <w:sz w:val="20"/>
          <w:szCs w:val="20"/>
        </w:rPr>
        <w:t>/202</w:t>
      </w:r>
      <w:r w:rsidR="00A417AB">
        <w:rPr>
          <w:rFonts w:ascii="Arial" w:hAnsi="Arial" w:cs="Arial"/>
          <w:sz w:val="20"/>
          <w:szCs w:val="20"/>
        </w:rPr>
        <w:t>1</w:t>
      </w:r>
    </w:p>
    <w:p w:rsidR="00D55337" w:rsidRPr="00ED1A27" w:rsidRDefault="00D55337" w:rsidP="00ED1A27">
      <w:pPr>
        <w:spacing w:line="276" w:lineRule="auto"/>
        <w:rPr>
          <w:rFonts w:ascii="Arial" w:hAnsi="Arial" w:cs="Arial"/>
          <w:sz w:val="20"/>
          <w:szCs w:val="20"/>
        </w:rPr>
      </w:pPr>
      <w:r w:rsidRPr="00ED1A27">
        <w:rPr>
          <w:rFonts w:ascii="Arial" w:hAnsi="Arial" w:cs="Arial"/>
          <w:sz w:val="20"/>
          <w:szCs w:val="20"/>
        </w:rPr>
        <w:t xml:space="preserve">Datum: </w:t>
      </w:r>
    </w:p>
    <w:p w:rsidR="001825F8" w:rsidRPr="00ED1A27" w:rsidRDefault="001825F8" w:rsidP="00ED1A27">
      <w:pPr>
        <w:pBdr>
          <w:bottom w:val="single" w:sz="4" w:space="1" w:color="auto"/>
        </w:pBdr>
        <w:spacing w:line="276" w:lineRule="auto"/>
        <w:rPr>
          <w:rFonts w:ascii="Arial" w:hAnsi="Arial" w:cs="Arial"/>
          <w:sz w:val="20"/>
          <w:szCs w:val="20"/>
        </w:rPr>
      </w:pPr>
    </w:p>
    <w:p w:rsidR="001825F8" w:rsidRPr="00ED1A27" w:rsidRDefault="001825F8" w:rsidP="00ED1A27">
      <w:pPr>
        <w:spacing w:line="276" w:lineRule="auto"/>
        <w:rPr>
          <w:rFonts w:ascii="Arial" w:hAnsi="Arial" w:cs="Arial"/>
          <w:sz w:val="20"/>
          <w:szCs w:val="20"/>
        </w:rPr>
      </w:pPr>
    </w:p>
    <w:p w:rsidR="00AE4CB8" w:rsidRPr="00CD0C59" w:rsidRDefault="00AE4CB8" w:rsidP="00AE4CB8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CD0C59">
        <w:rPr>
          <w:rFonts w:ascii="Arial" w:hAnsi="Arial" w:cs="Arial"/>
          <w:b/>
          <w:sz w:val="20"/>
          <w:szCs w:val="20"/>
        </w:rPr>
        <w:t>Obrazložitev:</w:t>
      </w:r>
    </w:p>
    <w:p w:rsidR="00AE4CB8" w:rsidRPr="00CD0C59" w:rsidRDefault="00AE4CB8" w:rsidP="00AE4CB8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CA4AA8" w:rsidRPr="0038272C" w:rsidRDefault="00CA4AA8" w:rsidP="00CA4AA8">
      <w:pPr>
        <w:spacing w:line="276" w:lineRule="auto"/>
        <w:jc w:val="both"/>
        <w:rPr>
          <w:rFonts w:ascii="Arial" w:hAnsi="Arial" w:cs="Arial"/>
          <w:color w:val="000000" w:themeColor="text1"/>
          <w:sz w:val="20"/>
        </w:rPr>
      </w:pPr>
      <w:r w:rsidRPr="0038272C">
        <w:rPr>
          <w:rFonts w:ascii="Arial" w:hAnsi="Arial" w:cs="Arial"/>
          <w:color w:val="000000" w:themeColor="text1"/>
          <w:sz w:val="20"/>
        </w:rPr>
        <w:t xml:space="preserve">Največji problem obravnavanega območja ceste LC 328091 je neurejeno vozišče in pločnik, neurejeno odvodnjavanje vozišča in neurejeni prepusti. Pločniki so v nezavidljivem stanju in predstavljajo z vidika dostopnosti težavo, še posebej za ranljive skupine (otroke, starejše, mamice z vozički, invalide ipd.). Problemi neurejenega prepusta in pomanjkanje obcestne </w:t>
      </w:r>
      <w:proofErr w:type="spellStart"/>
      <w:r w:rsidRPr="0038272C">
        <w:rPr>
          <w:rFonts w:ascii="Arial" w:hAnsi="Arial" w:cs="Arial"/>
          <w:color w:val="000000" w:themeColor="text1"/>
          <w:sz w:val="20"/>
        </w:rPr>
        <w:t>mulde</w:t>
      </w:r>
      <w:proofErr w:type="spellEnd"/>
      <w:r w:rsidRPr="0038272C">
        <w:rPr>
          <w:rFonts w:ascii="Arial" w:hAnsi="Arial" w:cs="Arial"/>
          <w:color w:val="000000" w:themeColor="text1"/>
          <w:sz w:val="20"/>
        </w:rPr>
        <w:t xml:space="preserve"> se pokažejo ob močnejših nalivih, ko se na in ob cestišču pojavlja blato </w:t>
      </w:r>
      <w:r>
        <w:rPr>
          <w:rFonts w:ascii="Arial" w:hAnsi="Arial" w:cs="Arial"/>
          <w:color w:val="000000" w:themeColor="text1"/>
          <w:sz w:val="20"/>
        </w:rPr>
        <w:t>in večje količine zastale vode.</w:t>
      </w:r>
    </w:p>
    <w:p w:rsidR="00A417AB" w:rsidRPr="00ED26F8" w:rsidRDefault="00A417AB" w:rsidP="00A417AB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A4AA8" w:rsidRPr="0094016F" w:rsidRDefault="00CA4AA8" w:rsidP="00CA4AA8">
      <w:pPr>
        <w:spacing w:line="276" w:lineRule="auto"/>
        <w:jc w:val="both"/>
        <w:rPr>
          <w:rFonts w:ascii="Arial" w:hAnsi="Arial" w:cs="Arial"/>
          <w:sz w:val="18"/>
        </w:rPr>
      </w:pPr>
      <w:bookmarkStart w:id="0" w:name="_Hlk42713200"/>
      <w:r w:rsidRPr="0094016F">
        <w:rPr>
          <w:rFonts w:ascii="Arial" w:hAnsi="Arial" w:cs="Arial"/>
          <w:sz w:val="20"/>
          <w:szCs w:val="22"/>
        </w:rPr>
        <w:t>V okviru investicije se bo izvedla obnova ceste LC 328091 od križišča z Raičevo ulico do trgovine na Vičavi (mimo vojašnice</w:t>
      </w:r>
      <w:r w:rsidR="00561EAC">
        <w:rPr>
          <w:rFonts w:ascii="Arial" w:hAnsi="Arial" w:cs="Arial"/>
          <w:sz w:val="20"/>
          <w:szCs w:val="22"/>
        </w:rPr>
        <w:t>)</w:t>
      </w:r>
      <w:r w:rsidRPr="0094016F">
        <w:rPr>
          <w:rFonts w:ascii="Arial" w:hAnsi="Arial" w:cs="Arial"/>
          <w:sz w:val="20"/>
          <w:szCs w:val="22"/>
        </w:rPr>
        <w:t xml:space="preserve">, v skupni dolžini 520 m. Gre za odstranitev vrhnjega sloja asfalta ceste in pločnika, sanacija podlage, asfaltiranje vozišča, ureditev površine za pešce, ureditev odvodnjavanja ter izvedba ponikovalnice, ureditev asfaltne </w:t>
      </w:r>
      <w:proofErr w:type="spellStart"/>
      <w:r w:rsidRPr="0094016F">
        <w:rPr>
          <w:rFonts w:ascii="Arial" w:hAnsi="Arial" w:cs="Arial"/>
          <w:sz w:val="20"/>
          <w:szCs w:val="22"/>
        </w:rPr>
        <w:t>mulde</w:t>
      </w:r>
      <w:proofErr w:type="spellEnd"/>
      <w:r w:rsidR="00B61440">
        <w:rPr>
          <w:rFonts w:ascii="Arial" w:hAnsi="Arial" w:cs="Arial"/>
          <w:sz w:val="20"/>
          <w:szCs w:val="22"/>
        </w:rPr>
        <w:t xml:space="preserve"> in</w:t>
      </w:r>
      <w:r w:rsidRPr="0094016F">
        <w:rPr>
          <w:rFonts w:ascii="Arial" w:hAnsi="Arial" w:cs="Arial"/>
          <w:sz w:val="20"/>
          <w:szCs w:val="22"/>
        </w:rPr>
        <w:t xml:space="preserve"> ureditev avtobusnega postajališča.</w:t>
      </w:r>
    </w:p>
    <w:bookmarkEnd w:id="0"/>
    <w:p w:rsidR="00A417AB" w:rsidRPr="00ED26F8" w:rsidRDefault="00A417AB" w:rsidP="00A417AB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417AB" w:rsidRPr="00ED26F8" w:rsidRDefault="00A417AB" w:rsidP="00A417A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D26F8">
        <w:rPr>
          <w:rFonts w:ascii="Arial" w:hAnsi="Arial" w:cs="Arial"/>
          <w:sz w:val="20"/>
          <w:szCs w:val="20"/>
        </w:rPr>
        <w:t>Celotna vrednost investicije znaša</w:t>
      </w:r>
      <w:r w:rsidR="00D425A4">
        <w:rPr>
          <w:rFonts w:ascii="Arial" w:hAnsi="Arial" w:cs="Arial"/>
          <w:sz w:val="20"/>
          <w:szCs w:val="20"/>
        </w:rPr>
        <w:t xml:space="preserve"> 111.258,25 EUR brez DDV </w:t>
      </w:r>
      <w:r w:rsidR="00561EAC">
        <w:rPr>
          <w:rFonts w:ascii="Arial" w:hAnsi="Arial" w:cs="Arial"/>
          <w:sz w:val="20"/>
          <w:szCs w:val="20"/>
        </w:rPr>
        <w:t>oziroma</w:t>
      </w:r>
      <w:r w:rsidRPr="00ED26F8">
        <w:rPr>
          <w:rFonts w:ascii="Arial" w:hAnsi="Arial" w:cs="Arial"/>
          <w:sz w:val="20"/>
          <w:szCs w:val="20"/>
        </w:rPr>
        <w:t xml:space="preserve"> </w:t>
      </w:r>
      <w:r w:rsidR="00CA4AA8" w:rsidRPr="00D425A4">
        <w:rPr>
          <w:rFonts w:ascii="Arial" w:hAnsi="Arial" w:cs="Arial"/>
          <w:sz w:val="20"/>
          <w:szCs w:val="20"/>
        </w:rPr>
        <w:t>135.735</w:t>
      </w:r>
      <w:r w:rsidRPr="00D425A4">
        <w:rPr>
          <w:rFonts w:ascii="Arial" w:hAnsi="Arial" w:cs="Arial"/>
          <w:sz w:val="20"/>
          <w:szCs w:val="20"/>
        </w:rPr>
        <w:t>,0</w:t>
      </w:r>
      <w:r w:rsidR="00CA4AA8" w:rsidRPr="00D425A4">
        <w:rPr>
          <w:rFonts w:ascii="Arial" w:hAnsi="Arial" w:cs="Arial"/>
          <w:sz w:val="20"/>
          <w:szCs w:val="20"/>
        </w:rPr>
        <w:t>7</w:t>
      </w:r>
      <w:r w:rsidRPr="00D425A4">
        <w:rPr>
          <w:rFonts w:ascii="Arial" w:hAnsi="Arial" w:cs="Arial"/>
          <w:sz w:val="20"/>
          <w:szCs w:val="20"/>
        </w:rPr>
        <w:t xml:space="preserve"> EUR </w:t>
      </w:r>
      <w:r w:rsidR="00CA4AA8" w:rsidRPr="00D425A4">
        <w:rPr>
          <w:rFonts w:ascii="Arial" w:hAnsi="Arial" w:cs="Arial"/>
          <w:sz w:val="20"/>
          <w:szCs w:val="20"/>
        </w:rPr>
        <w:t>z</w:t>
      </w:r>
      <w:r w:rsidRPr="00D425A4">
        <w:rPr>
          <w:rFonts w:ascii="Arial" w:hAnsi="Arial" w:cs="Arial"/>
          <w:sz w:val="20"/>
          <w:szCs w:val="20"/>
        </w:rPr>
        <w:t xml:space="preserve"> DDV</w:t>
      </w:r>
      <w:r w:rsidRPr="00ED26F8">
        <w:rPr>
          <w:rFonts w:ascii="Arial" w:hAnsi="Arial" w:cs="Arial"/>
          <w:sz w:val="20"/>
          <w:szCs w:val="20"/>
        </w:rPr>
        <w:t xml:space="preserve">. </w:t>
      </w:r>
      <w:r w:rsidR="00CA4AA8" w:rsidRPr="00635A40">
        <w:rPr>
          <w:rFonts w:ascii="Arial" w:hAnsi="Arial" w:cs="Arial"/>
          <w:color w:val="000000"/>
          <w:sz w:val="20"/>
        </w:rPr>
        <w:t>Predviden zaključek investicije je september 2021.</w:t>
      </w:r>
    </w:p>
    <w:p w:rsidR="00A417AB" w:rsidRPr="00ED26F8" w:rsidRDefault="00A417AB" w:rsidP="00A417AB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A417AB" w:rsidRPr="00ED26F8" w:rsidRDefault="00A417AB" w:rsidP="00A417AB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ED26F8">
        <w:rPr>
          <w:rFonts w:ascii="Arial" w:hAnsi="Arial" w:cs="Arial"/>
          <w:b/>
          <w:sz w:val="20"/>
          <w:szCs w:val="20"/>
        </w:rPr>
        <w:t>Viri financiranja</w:t>
      </w:r>
    </w:p>
    <w:tbl>
      <w:tblPr>
        <w:tblW w:w="847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"/>
        <w:gridCol w:w="3593"/>
        <w:gridCol w:w="1471"/>
        <w:gridCol w:w="1482"/>
        <w:gridCol w:w="1482"/>
      </w:tblGrid>
      <w:tr w:rsidR="00CA4AA8" w:rsidRPr="00635A40" w:rsidTr="00D425A4">
        <w:trPr>
          <w:trHeight w:val="267"/>
          <w:jc w:val="center"/>
        </w:trPr>
        <w:tc>
          <w:tcPr>
            <w:tcW w:w="40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A4AA8" w:rsidRPr="00635A40" w:rsidRDefault="00CA4AA8" w:rsidP="00A6503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35A40">
              <w:rPr>
                <w:rFonts w:ascii="Arial" w:hAnsi="Arial" w:cs="Arial"/>
                <w:b/>
                <w:bCs/>
                <w:sz w:val="20"/>
              </w:rPr>
              <w:t>VIRI FINANCIRANJA</w:t>
            </w:r>
          </w:p>
        </w:tc>
        <w:tc>
          <w:tcPr>
            <w:tcW w:w="14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A4AA8" w:rsidRPr="00635A40" w:rsidRDefault="00CA4AA8" w:rsidP="00A6503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425A4">
              <w:rPr>
                <w:rFonts w:ascii="Arial" w:hAnsi="Arial" w:cs="Arial"/>
                <w:b/>
                <w:bCs/>
                <w:sz w:val="20"/>
              </w:rPr>
              <w:t>202</w:t>
            </w:r>
            <w:r w:rsidR="00D425A4">
              <w:rPr>
                <w:rFonts w:ascii="Arial" w:hAnsi="Arial" w:cs="Arial"/>
                <w:b/>
                <w:bCs/>
                <w:sz w:val="20"/>
              </w:rPr>
              <w:t>1</w:t>
            </w:r>
          </w:p>
        </w:tc>
        <w:tc>
          <w:tcPr>
            <w:tcW w:w="14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A4AA8" w:rsidRPr="00635A40" w:rsidRDefault="00CA4AA8" w:rsidP="00A6503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35A40">
              <w:rPr>
                <w:rFonts w:ascii="Arial" w:hAnsi="Arial" w:cs="Arial"/>
                <w:b/>
                <w:bCs/>
                <w:sz w:val="20"/>
              </w:rPr>
              <w:t>Skupaj</w:t>
            </w:r>
          </w:p>
        </w:tc>
        <w:tc>
          <w:tcPr>
            <w:tcW w:w="14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6B9B8"/>
            <w:vAlign w:val="center"/>
          </w:tcPr>
          <w:p w:rsidR="00CA4AA8" w:rsidRPr="00635A40" w:rsidRDefault="00CA4AA8" w:rsidP="00A6503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35A40">
              <w:rPr>
                <w:rFonts w:ascii="Arial" w:hAnsi="Arial" w:cs="Arial"/>
                <w:b/>
                <w:bCs/>
                <w:sz w:val="20"/>
              </w:rPr>
              <w:t>Delež</w:t>
            </w:r>
          </w:p>
        </w:tc>
      </w:tr>
      <w:tr w:rsidR="00CA4AA8" w:rsidRPr="00635A40" w:rsidTr="00D425A4">
        <w:trPr>
          <w:trHeight w:val="254"/>
          <w:jc w:val="center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CA4AA8" w:rsidRPr="00635A40" w:rsidRDefault="00CA4AA8" w:rsidP="00A6503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635A40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CA4AA8" w:rsidRPr="00635A40" w:rsidRDefault="00CA4AA8" w:rsidP="00A6503B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635A40">
              <w:rPr>
                <w:rFonts w:ascii="Arial" w:hAnsi="Arial" w:cs="Arial"/>
                <w:sz w:val="20"/>
              </w:rPr>
              <w:t>Mestna občina Ptuj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CA4AA8" w:rsidRPr="00635A40" w:rsidRDefault="00CA4AA8" w:rsidP="00A6503B">
            <w:pPr>
              <w:spacing w:line="276" w:lineRule="auto"/>
              <w:jc w:val="center"/>
            </w:pPr>
            <w:r w:rsidRPr="0094016F">
              <w:rPr>
                <w:rFonts w:ascii="Arial" w:hAnsi="Arial" w:cs="Arial"/>
                <w:bCs/>
                <w:color w:val="000000"/>
                <w:sz w:val="20"/>
              </w:rPr>
              <w:t>135.735,07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CA4AA8" w:rsidRPr="00635A40" w:rsidRDefault="00CA4AA8" w:rsidP="00A6503B">
            <w:pPr>
              <w:spacing w:line="276" w:lineRule="auto"/>
              <w:jc w:val="center"/>
            </w:pPr>
            <w:r w:rsidRPr="0094016F">
              <w:rPr>
                <w:rFonts w:ascii="Arial" w:hAnsi="Arial" w:cs="Arial"/>
                <w:bCs/>
                <w:color w:val="000000"/>
                <w:sz w:val="20"/>
              </w:rPr>
              <w:t>135.735,07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CA4AA8" w:rsidRPr="00635A40" w:rsidRDefault="00CA4AA8" w:rsidP="00A6503B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635A40">
              <w:rPr>
                <w:rFonts w:ascii="Arial" w:hAnsi="Arial" w:cs="Arial"/>
                <w:sz w:val="20"/>
              </w:rPr>
              <w:t>1,00</w:t>
            </w:r>
          </w:p>
        </w:tc>
      </w:tr>
      <w:tr w:rsidR="00CA4AA8" w:rsidRPr="00635A40" w:rsidTr="00D425A4">
        <w:trPr>
          <w:trHeight w:val="267"/>
          <w:jc w:val="center"/>
        </w:trPr>
        <w:tc>
          <w:tcPr>
            <w:tcW w:w="4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A4AA8" w:rsidRPr="00635A40" w:rsidRDefault="00CA4AA8" w:rsidP="00A6503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A4AA8" w:rsidRPr="00635A40" w:rsidRDefault="00CA4AA8" w:rsidP="00A6503B">
            <w:pPr>
              <w:spacing w:line="276" w:lineRule="auto"/>
              <w:rPr>
                <w:rFonts w:ascii="Arial" w:hAnsi="Arial" w:cs="Arial"/>
                <w:b/>
                <w:bCs/>
                <w:sz w:val="20"/>
              </w:rPr>
            </w:pPr>
            <w:r w:rsidRPr="00635A40">
              <w:rPr>
                <w:rFonts w:ascii="Arial" w:hAnsi="Arial" w:cs="Arial"/>
                <w:b/>
                <w:bCs/>
                <w:sz w:val="20"/>
              </w:rPr>
              <w:t>SKUPAJ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CA4AA8" w:rsidRDefault="00CA4AA8" w:rsidP="00A6503B">
            <w:pPr>
              <w:spacing w:line="276" w:lineRule="auto"/>
              <w:jc w:val="center"/>
            </w:pPr>
            <w:r w:rsidRPr="0094016F">
              <w:rPr>
                <w:rFonts w:ascii="Arial" w:hAnsi="Arial" w:cs="Arial"/>
                <w:b/>
                <w:bCs/>
                <w:color w:val="000000"/>
                <w:sz w:val="20"/>
              </w:rPr>
              <w:t>135.735,07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E6B9B8"/>
            <w:vAlign w:val="center"/>
          </w:tcPr>
          <w:p w:rsidR="00CA4AA8" w:rsidRDefault="00CA4AA8" w:rsidP="00A6503B">
            <w:pPr>
              <w:spacing w:line="276" w:lineRule="auto"/>
              <w:jc w:val="center"/>
            </w:pPr>
            <w:r w:rsidRPr="0094016F">
              <w:rPr>
                <w:rFonts w:ascii="Arial" w:hAnsi="Arial" w:cs="Arial"/>
                <w:b/>
                <w:bCs/>
                <w:color w:val="000000"/>
                <w:sz w:val="20"/>
              </w:rPr>
              <w:t>135.735,07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E6B9B8"/>
            <w:vAlign w:val="center"/>
          </w:tcPr>
          <w:p w:rsidR="00CA4AA8" w:rsidRPr="00635A40" w:rsidRDefault="00CA4AA8" w:rsidP="00A6503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635A40">
              <w:rPr>
                <w:rFonts w:ascii="Arial" w:hAnsi="Arial" w:cs="Arial"/>
                <w:b/>
                <w:sz w:val="20"/>
              </w:rPr>
              <w:t>1,00</w:t>
            </w:r>
          </w:p>
        </w:tc>
      </w:tr>
    </w:tbl>
    <w:p w:rsidR="00A417AB" w:rsidRPr="00ED26F8" w:rsidRDefault="00A417AB" w:rsidP="00A417AB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CA4AA8" w:rsidRPr="00452501" w:rsidRDefault="00CA4AA8" w:rsidP="00561EAC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color w:val="000000"/>
          <w:sz w:val="20"/>
        </w:rPr>
      </w:pPr>
      <w:r w:rsidRPr="00452501">
        <w:rPr>
          <w:rFonts w:ascii="Arial" w:hAnsi="Arial" w:cs="Arial"/>
          <w:color w:val="000000"/>
          <w:sz w:val="20"/>
        </w:rPr>
        <w:lastRenderedPageBreak/>
        <w:t>Za izvedbo investicije bo MO Ptuj zagotovila lastna sredstva iz občinskega proračuna. Sredstva so zagotovljena na skupni proračunski postavki 6110 Investicijsko vzdrževanje cestne infrastrukture v okviru NRP</w:t>
      </w:r>
      <w:r w:rsidR="00561EAC">
        <w:rPr>
          <w:rFonts w:ascii="Arial" w:hAnsi="Arial" w:cs="Arial"/>
          <w:color w:val="000000"/>
          <w:sz w:val="20"/>
        </w:rPr>
        <w:t xml:space="preserve"> </w:t>
      </w:r>
      <w:r w:rsidRPr="00452501">
        <w:rPr>
          <w:rFonts w:ascii="Arial" w:hAnsi="Arial" w:cs="Arial"/>
          <w:color w:val="000000"/>
          <w:sz w:val="20"/>
        </w:rPr>
        <w:t>OB096-20-00</w:t>
      </w:r>
      <w:r>
        <w:rPr>
          <w:rFonts w:ascii="Arial" w:hAnsi="Arial" w:cs="Arial"/>
          <w:color w:val="000000"/>
          <w:sz w:val="20"/>
        </w:rPr>
        <w:t>44</w:t>
      </w:r>
      <w:r w:rsidRPr="00452501">
        <w:rPr>
          <w:rFonts w:ascii="Arial" w:hAnsi="Arial" w:cs="Arial"/>
          <w:color w:val="000000"/>
          <w:sz w:val="20"/>
        </w:rPr>
        <w:t xml:space="preserve"> v višini </w:t>
      </w:r>
      <w:r w:rsidRPr="0094016F">
        <w:rPr>
          <w:rFonts w:ascii="Arial" w:hAnsi="Arial" w:cs="Arial"/>
          <w:bCs/>
          <w:color w:val="000000"/>
          <w:sz w:val="20"/>
        </w:rPr>
        <w:t>135.735,07</w:t>
      </w:r>
      <w:r w:rsidRPr="00452501">
        <w:rPr>
          <w:rFonts w:ascii="Arial" w:hAnsi="Arial" w:cs="Arial"/>
          <w:color w:val="000000"/>
          <w:sz w:val="20"/>
        </w:rPr>
        <w:t xml:space="preserve"> EUR.</w:t>
      </w:r>
    </w:p>
    <w:p w:rsidR="00A417AB" w:rsidRPr="00ED26F8" w:rsidRDefault="00A417AB" w:rsidP="00A417A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417AB" w:rsidRPr="00ED26F8" w:rsidRDefault="00A417AB" w:rsidP="00A417A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D26F8">
        <w:rPr>
          <w:rFonts w:ascii="Arial" w:hAnsi="Arial" w:cs="Arial"/>
          <w:sz w:val="20"/>
          <w:szCs w:val="20"/>
        </w:rPr>
        <w:t>Mestnemu svetu Mestne občine Ptuj predlagam, da predloženi dokument obravnava in sprejme predlagani sklep.</w:t>
      </w:r>
    </w:p>
    <w:p w:rsidR="00A417AB" w:rsidRPr="00ED26F8" w:rsidRDefault="00A417AB" w:rsidP="00A417A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417AB" w:rsidRPr="00ED26F8" w:rsidRDefault="00A417AB" w:rsidP="00A417A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D26F8">
        <w:rPr>
          <w:rFonts w:ascii="Arial" w:hAnsi="Arial" w:cs="Arial"/>
          <w:sz w:val="20"/>
          <w:szCs w:val="20"/>
        </w:rPr>
        <w:t>Pripravil</w:t>
      </w:r>
      <w:bookmarkStart w:id="1" w:name="_GoBack"/>
      <w:bookmarkEnd w:id="1"/>
      <w:r w:rsidRPr="00ED26F8">
        <w:rPr>
          <w:rFonts w:ascii="Arial" w:hAnsi="Arial" w:cs="Arial"/>
          <w:sz w:val="20"/>
          <w:szCs w:val="20"/>
        </w:rPr>
        <w:t xml:space="preserve">: </w:t>
      </w:r>
    </w:p>
    <w:p w:rsidR="00A417AB" w:rsidRPr="00ED26F8" w:rsidRDefault="00A417AB" w:rsidP="00A417A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Aleš Gregorec</w:t>
      </w:r>
    </w:p>
    <w:p w:rsidR="00A417AB" w:rsidRPr="001D6956" w:rsidRDefault="00A417AB" w:rsidP="00A417A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D26F8">
        <w:rPr>
          <w:rFonts w:ascii="Arial" w:hAnsi="Arial" w:cs="Arial"/>
          <w:b/>
          <w:sz w:val="20"/>
          <w:szCs w:val="20"/>
        </w:rPr>
        <w:tab/>
      </w:r>
      <w:r w:rsidRPr="00ED26F8">
        <w:rPr>
          <w:rFonts w:ascii="Arial" w:hAnsi="Arial" w:cs="Arial"/>
          <w:b/>
          <w:sz w:val="20"/>
          <w:szCs w:val="20"/>
        </w:rPr>
        <w:tab/>
      </w:r>
      <w:r w:rsidRPr="00ED26F8">
        <w:rPr>
          <w:rFonts w:ascii="Arial" w:hAnsi="Arial" w:cs="Arial"/>
          <w:b/>
          <w:sz w:val="20"/>
          <w:szCs w:val="20"/>
        </w:rPr>
        <w:tab/>
      </w:r>
      <w:r w:rsidRPr="00ED26F8">
        <w:rPr>
          <w:rFonts w:ascii="Arial" w:hAnsi="Arial" w:cs="Arial"/>
          <w:b/>
          <w:sz w:val="20"/>
          <w:szCs w:val="20"/>
        </w:rPr>
        <w:tab/>
      </w:r>
      <w:r w:rsidRPr="00ED26F8">
        <w:rPr>
          <w:rFonts w:ascii="Arial" w:hAnsi="Arial" w:cs="Arial"/>
          <w:b/>
          <w:sz w:val="20"/>
          <w:szCs w:val="20"/>
        </w:rPr>
        <w:tab/>
      </w:r>
      <w:r w:rsidRPr="00ED26F8">
        <w:rPr>
          <w:rFonts w:ascii="Arial" w:hAnsi="Arial" w:cs="Arial"/>
          <w:b/>
          <w:sz w:val="20"/>
          <w:szCs w:val="20"/>
        </w:rPr>
        <w:tab/>
      </w:r>
      <w:r w:rsidRPr="00ED26F8">
        <w:rPr>
          <w:rFonts w:ascii="Arial" w:hAnsi="Arial" w:cs="Arial"/>
          <w:b/>
          <w:sz w:val="20"/>
          <w:szCs w:val="20"/>
        </w:rPr>
        <w:tab/>
      </w:r>
      <w:r w:rsidRPr="00ED26F8">
        <w:rPr>
          <w:rFonts w:ascii="Arial" w:hAnsi="Arial" w:cs="Arial"/>
          <w:b/>
          <w:sz w:val="20"/>
          <w:szCs w:val="20"/>
        </w:rPr>
        <w:tab/>
        <w:t xml:space="preserve">                 </w:t>
      </w:r>
      <w:r>
        <w:rPr>
          <w:rFonts w:ascii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>Nuška Gajšek</w:t>
      </w:r>
    </w:p>
    <w:p w:rsidR="00A417AB" w:rsidRPr="001D6956" w:rsidRDefault="00A417AB" w:rsidP="00A417A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D6956">
        <w:rPr>
          <w:rFonts w:ascii="Arial" w:hAnsi="Arial" w:cs="Arial"/>
          <w:sz w:val="20"/>
          <w:szCs w:val="20"/>
        </w:rPr>
        <w:tab/>
      </w:r>
      <w:r w:rsidRPr="001D6956">
        <w:rPr>
          <w:rFonts w:ascii="Arial" w:hAnsi="Arial" w:cs="Arial"/>
          <w:sz w:val="20"/>
          <w:szCs w:val="20"/>
        </w:rPr>
        <w:tab/>
      </w:r>
      <w:r w:rsidRPr="001D6956">
        <w:rPr>
          <w:rFonts w:ascii="Arial" w:hAnsi="Arial" w:cs="Arial"/>
          <w:sz w:val="20"/>
          <w:szCs w:val="20"/>
        </w:rPr>
        <w:tab/>
      </w:r>
      <w:r w:rsidRPr="001D6956">
        <w:rPr>
          <w:rFonts w:ascii="Arial" w:hAnsi="Arial" w:cs="Arial"/>
          <w:sz w:val="20"/>
          <w:szCs w:val="20"/>
        </w:rPr>
        <w:tab/>
      </w:r>
      <w:r w:rsidRPr="001D6956">
        <w:rPr>
          <w:rFonts w:ascii="Arial" w:hAnsi="Arial" w:cs="Arial"/>
          <w:sz w:val="20"/>
          <w:szCs w:val="20"/>
        </w:rPr>
        <w:tab/>
      </w:r>
      <w:r w:rsidRPr="001D6956">
        <w:rPr>
          <w:rFonts w:ascii="Arial" w:hAnsi="Arial" w:cs="Arial"/>
          <w:sz w:val="20"/>
          <w:szCs w:val="20"/>
        </w:rPr>
        <w:tab/>
        <w:t xml:space="preserve">                                                    županja </w:t>
      </w:r>
    </w:p>
    <w:p w:rsidR="00894E5A" w:rsidRPr="00ED1A27" w:rsidRDefault="00894E5A" w:rsidP="00ED1A2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B0EAD" w:rsidRPr="00ED1A27" w:rsidRDefault="008B0EAD" w:rsidP="00ED1A2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87A41" w:rsidRPr="00ED1A27" w:rsidRDefault="00D87A41" w:rsidP="00ED1A2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D1A27" w:rsidRPr="00ED1A27" w:rsidRDefault="00ED1A2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sectPr w:rsidR="00ED1A27" w:rsidRPr="00ED1A27" w:rsidSect="006D3DCC">
      <w:footerReference w:type="default" r:id="rId8"/>
      <w:headerReference w:type="first" r:id="rId9"/>
      <w:footerReference w:type="first" r:id="rId10"/>
      <w:pgSz w:w="12240" w:h="15840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2FBF" w:rsidRDefault="002E2FBF">
      <w:r>
        <w:separator/>
      </w:r>
    </w:p>
  </w:endnote>
  <w:endnote w:type="continuationSeparator" w:id="0">
    <w:p w:rsidR="002E2FBF" w:rsidRDefault="002E2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notaKlavika">
    <w:altName w:val="Times New Roman"/>
    <w:charset w:val="EE"/>
    <w:family w:val="auto"/>
    <w:pitch w:val="variable"/>
    <w:sig w:usb0="00000001" w:usb1="5000204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5085" w:rsidRDefault="00D75085" w:rsidP="006D3DCC">
    <w:pPr>
      <w:pBdr>
        <w:top w:val="single" w:sz="12" w:space="1" w:color="999999"/>
      </w:pBdr>
      <w:jc w:val="center"/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5085" w:rsidRDefault="00D75085" w:rsidP="006D3DCC">
    <w:pPr>
      <w:pBdr>
        <w:top w:val="single" w:sz="12" w:space="1" w:color="999999"/>
      </w:pBdr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2FBF" w:rsidRDefault="002E2FBF">
      <w:r>
        <w:separator/>
      </w:r>
    </w:p>
  </w:footnote>
  <w:footnote w:type="continuationSeparator" w:id="0">
    <w:p w:rsidR="002E2FBF" w:rsidRDefault="002E2F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3174"/>
      <w:gridCol w:w="6230"/>
    </w:tblGrid>
    <w:tr w:rsidR="00D75085" w:rsidTr="00AA1F51">
      <w:tc>
        <w:tcPr>
          <w:tcW w:w="3228" w:type="dxa"/>
        </w:tcPr>
        <w:p w:rsidR="00D75085" w:rsidRPr="00AA1F51" w:rsidRDefault="00342EFD" w:rsidP="00AA1F51">
          <w:pPr>
            <w:pBdr>
              <w:bottom w:val="single" w:sz="12" w:space="1" w:color="999999"/>
            </w:pBdr>
            <w:jc w:val="center"/>
            <w:rPr>
              <w:b/>
              <w:i/>
            </w:rPr>
          </w:pPr>
          <w:r>
            <w:rPr>
              <w:noProof/>
            </w:rPr>
            <w:drawing>
              <wp:inline distT="0" distB="0" distL="0" distR="0">
                <wp:extent cx="464820" cy="579120"/>
                <wp:effectExtent l="19050" t="0" r="0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4820" cy="579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D75085" w:rsidRDefault="00D75085" w:rsidP="00AA1F51">
          <w:pPr>
            <w:pBdr>
              <w:bottom w:val="single" w:sz="12" w:space="1" w:color="999999"/>
            </w:pBdr>
          </w:pPr>
        </w:p>
        <w:p w:rsidR="00D75085" w:rsidRPr="00AA1F51" w:rsidRDefault="00D75085" w:rsidP="00AA1F51">
          <w:pPr>
            <w:pBdr>
              <w:bottom w:val="single" w:sz="12" w:space="1" w:color="999999"/>
            </w:pBdr>
            <w:jc w:val="center"/>
            <w:rPr>
              <w:b/>
              <w:sz w:val="22"/>
            </w:rPr>
          </w:pPr>
          <w:r w:rsidRPr="00AA1F51">
            <w:rPr>
              <w:b/>
              <w:sz w:val="22"/>
            </w:rPr>
            <w:t>MESTNA OBČINA PTUJ</w:t>
          </w:r>
        </w:p>
        <w:p w:rsidR="00D75085" w:rsidRPr="00AA1F51" w:rsidRDefault="00D75085" w:rsidP="00AA1F51">
          <w:pPr>
            <w:pBdr>
              <w:bottom w:val="single" w:sz="12" w:space="1" w:color="999999"/>
            </w:pBdr>
            <w:jc w:val="center"/>
            <w:rPr>
              <w:sz w:val="22"/>
            </w:rPr>
          </w:pPr>
          <w:r w:rsidRPr="00AA1F51">
            <w:rPr>
              <w:sz w:val="22"/>
            </w:rPr>
            <w:t xml:space="preserve"> ŽUPAN</w:t>
          </w:r>
          <w:r w:rsidR="00D85A2F">
            <w:rPr>
              <w:sz w:val="22"/>
            </w:rPr>
            <w:t>JA</w:t>
          </w:r>
        </w:p>
        <w:p w:rsidR="00D75085" w:rsidRPr="00AA1F51" w:rsidRDefault="00D75085" w:rsidP="00AA1F51">
          <w:pPr>
            <w:pBdr>
              <w:bottom w:val="single" w:sz="12" w:space="1" w:color="999999"/>
            </w:pBdr>
            <w:rPr>
              <w:sz w:val="22"/>
            </w:rPr>
          </w:pPr>
        </w:p>
        <w:p w:rsidR="00D75085" w:rsidRPr="00AA1F51" w:rsidRDefault="00D75085" w:rsidP="00AA1F51">
          <w:pPr>
            <w:jc w:val="center"/>
            <w:rPr>
              <w:sz w:val="22"/>
            </w:rPr>
          </w:pPr>
        </w:p>
      </w:tc>
      <w:tc>
        <w:tcPr>
          <w:tcW w:w="6394" w:type="dxa"/>
        </w:tcPr>
        <w:p w:rsidR="00D85A2F" w:rsidRDefault="00D85A2F" w:rsidP="006D3DCC">
          <w:pPr>
            <w:pStyle w:val="Glava"/>
          </w:pPr>
        </w:p>
        <w:p w:rsidR="00D85A2F" w:rsidRPr="00D85A2F" w:rsidRDefault="00D85A2F" w:rsidP="00D85A2F"/>
        <w:p w:rsidR="00D85A2F" w:rsidRPr="00D85A2F" w:rsidRDefault="00D85A2F" w:rsidP="00D85A2F"/>
        <w:p w:rsidR="00D85A2F" w:rsidRPr="00D85A2F" w:rsidRDefault="00D85A2F" w:rsidP="00D85A2F"/>
        <w:p w:rsidR="00D85A2F" w:rsidRDefault="00D85A2F" w:rsidP="00D85A2F"/>
        <w:p w:rsidR="00D85A2F" w:rsidRDefault="00D85A2F" w:rsidP="00D85A2F"/>
        <w:p w:rsidR="00D75085" w:rsidRPr="00D85A2F" w:rsidRDefault="00D75085" w:rsidP="00D85A2F">
          <w:pPr>
            <w:ind w:firstLine="720"/>
          </w:pPr>
        </w:p>
      </w:tc>
    </w:tr>
  </w:tbl>
  <w:p w:rsidR="00D75085" w:rsidRDefault="00D7508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B1B6E"/>
    <w:multiLevelType w:val="hybridMultilevel"/>
    <w:tmpl w:val="E542BD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B186D"/>
    <w:multiLevelType w:val="hybridMultilevel"/>
    <w:tmpl w:val="9C4C76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84139"/>
    <w:multiLevelType w:val="hybridMultilevel"/>
    <w:tmpl w:val="A222A1A4"/>
    <w:lvl w:ilvl="0" w:tplc="EFBE0232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6A46B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6804813"/>
    <w:multiLevelType w:val="hybridMultilevel"/>
    <w:tmpl w:val="7F5ED138"/>
    <w:lvl w:ilvl="0" w:tplc="CCEC03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592D07"/>
    <w:multiLevelType w:val="hybridMultilevel"/>
    <w:tmpl w:val="207480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766735"/>
    <w:multiLevelType w:val="hybridMultilevel"/>
    <w:tmpl w:val="6AA4AC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8745A4"/>
    <w:multiLevelType w:val="hybridMultilevel"/>
    <w:tmpl w:val="151AE5F6"/>
    <w:lvl w:ilvl="0" w:tplc="3668AEE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6C7638"/>
    <w:multiLevelType w:val="hybridMultilevel"/>
    <w:tmpl w:val="D37862AE"/>
    <w:lvl w:ilvl="0" w:tplc="A43E8A8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24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i w:val="0"/>
        <w:color w:val="auto"/>
      </w:rPr>
    </w:lvl>
    <w:lvl w:ilvl="2" w:tplc="5AB2D942">
      <w:start w:val="1"/>
      <w:numFmt w:val="lowerLetter"/>
      <w:lvlText w:val="%3."/>
      <w:lvlJc w:val="left"/>
      <w:pPr>
        <w:ind w:left="2552" w:hanging="851"/>
      </w:pPr>
      <w:rPr>
        <w:rFonts w:ascii="Arial" w:eastAsia="MS Mincho" w:hAnsi="Arial" w:cs="Arial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500C10"/>
    <w:multiLevelType w:val="hybridMultilevel"/>
    <w:tmpl w:val="0AA2445A"/>
    <w:lvl w:ilvl="0" w:tplc="6E8C5A9C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613CDA"/>
    <w:multiLevelType w:val="hybridMultilevel"/>
    <w:tmpl w:val="6424518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F978C2"/>
    <w:multiLevelType w:val="hybridMultilevel"/>
    <w:tmpl w:val="015C6B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0"/>
  </w:num>
  <w:num w:numId="6">
    <w:abstractNumId w:val="10"/>
  </w:num>
  <w:num w:numId="7">
    <w:abstractNumId w:val="4"/>
  </w:num>
  <w:num w:numId="8">
    <w:abstractNumId w:val="9"/>
  </w:num>
  <w:num w:numId="9">
    <w:abstractNumId w:val="11"/>
  </w:num>
  <w:num w:numId="10">
    <w:abstractNumId w:val="5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99E"/>
    <w:rsid w:val="0000509C"/>
    <w:rsid w:val="00005C43"/>
    <w:rsid w:val="00005D12"/>
    <w:rsid w:val="000068E2"/>
    <w:rsid w:val="000073D0"/>
    <w:rsid w:val="00017942"/>
    <w:rsid w:val="00037924"/>
    <w:rsid w:val="00046752"/>
    <w:rsid w:val="0004786C"/>
    <w:rsid w:val="00051DBC"/>
    <w:rsid w:val="000544C1"/>
    <w:rsid w:val="00054B0C"/>
    <w:rsid w:val="000560DD"/>
    <w:rsid w:val="000633CA"/>
    <w:rsid w:val="0007190B"/>
    <w:rsid w:val="0007513B"/>
    <w:rsid w:val="00085317"/>
    <w:rsid w:val="00094385"/>
    <w:rsid w:val="00097029"/>
    <w:rsid w:val="00097293"/>
    <w:rsid w:val="00097307"/>
    <w:rsid w:val="000C1E72"/>
    <w:rsid w:val="000C4106"/>
    <w:rsid w:val="000D6253"/>
    <w:rsid w:val="000E3F5F"/>
    <w:rsid w:val="000E42C3"/>
    <w:rsid w:val="000F0493"/>
    <w:rsid w:val="000F2984"/>
    <w:rsid w:val="00104A6C"/>
    <w:rsid w:val="00105339"/>
    <w:rsid w:val="00117608"/>
    <w:rsid w:val="00122378"/>
    <w:rsid w:val="001225E9"/>
    <w:rsid w:val="001235D0"/>
    <w:rsid w:val="001277E6"/>
    <w:rsid w:val="00134E16"/>
    <w:rsid w:val="00136704"/>
    <w:rsid w:val="0014287A"/>
    <w:rsid w:val="00142C95"/>
    <w:rsid w:val="0014457D"/>
    <w:rsid w:val="00157CC6"/>
    <w:rsid w:val="00161F10"/>
    <w:rsid w:val="00162D3E"/>
    <w:rsid w:val="001737B6"/>
    <w:rsid w:val="00174A7E"/>
    <w:rsid w:val="00177755"/>
    <w:rsid w:val="00181AD2"/>
    <w:rsid w:val="001825F8"/>
    <w:rsid w:val="00183B2B"/>
    <w:rsid w:val="0018762D"/>
    <w:rsid w:val="00190782"/>
    <w:rsid w:val="00194894"/>
    <w:rsid w:val="0019517D"/>
    <w:rsid w:val="001B5A8F"/>
    <w:rsid w:val="001B7D57"/>
    <w:rsid w:val="001C0EC7"/>
    <w:rsid w:val="001C1E60"/>
    <w:rsid w:val="001D32E4"/>
    <w:rsid w:val="001E246C"/>
    <w:rsid w:val="001E6B9C"/>
    <w:rsid w:val="001F2DE3"/>
    <w:rsid w:val="00200405"/>
    <w:rsid w:val="00203B6D"/>
    <w:rsid w:val="002043ED"/>
    <w:rsid w:val="00213ADB"/>
    <w:rsid w:val="00223A8A"/>
    <w:rsid w:val="00227047"/>
    <w:rsid w:val="002349EE"/>
    <w:rsid w:val="00235DAA"/>
    <w:rsid w:val="00236DD5"/>
    <w:rsid w:val="00242B7A"/>
    <w:rsid w:val="002550D0"/>
    <w:rsid w:val="00256574"/>
    <w:rsid w:val="00257031"/>
    <w:rsid w:val="002611D3"/>
    <w:rsid w:val="002639D8"/>
    <w:rsid w:val="00265E35"/>
    <w:rsid w:val="002669DE"/>
    <w:rsid w:val="00266B26"/>
    <w:rsid w:val="002B135A"/>
    <w:rsid w:val="002C0275"/>
    <w:rsid w:val="002C7616"/>
    <w:rsid w:val="002D0071"/>
    <w:rsid w:val="002D2ED1"/>
    <w:rsid w:val="002E2FBF"/>
    <w:rsid w:val="002E56EB"/>
    <w:rsid w:val="002F36AD"/>
    <w:rsid w:val="002F68A3"/>
    <w:rsid w:val="00302680"/>
    <w:rsid w:val="00303202"/>
    <w:rsid w:val="00307FDA"/>
    <w:rsid w:val="00313442"/>
    <w:rsid w:val="00313CEC"/>
    <w:rsid w:val="0031476F"/>
    <w:rsid w:val="00316F25"/>
    <w:rsid w:val="00317551"/>
    <w:rsid w:val="003225DC"/>
    <w:rsid w:val="00327E05"/>
    <w:rsid w:val="00331B19"/>
    <w:rsid w:val="00331CA1"/>
    <w:rsid w:val="0033690F"/>
    <w:rsid w:val="00342EFD"/>
    <w:rsid w:val="00354BFF"/>
    <w:rsid w:val="003560AB"/>
    <w:rsid w:val="003628CB"/>
    <w:rsid w:val="003642C0"/>
    <w:rsid w:val="003659EF"/>
    <w:rsid w:val="00365E89"/>
    <w:rsid w:val="0036683C"/>
    <w:rsid w:val="003739BA"/>
    <w:rsid w:val="00376518"/>
    <w:rsid w:val="00377723"/>
    <w:rsid w:val="003810A7"/>
    <w:rsid w:val="00387834"/>
    <w:rsid w:val="00396438"/>
    <w:rsid w:val="003A2C72"/>
    <w:rsid w:val="003B0D4B"/>
    <w:rsid w:val="003B18A0"/>
    <w:rsid w:val="003B5516"/>
    <w:rsid w:val="003C2196"/>
    <w:rsid w:val="003C433E"/>
    <w:rsid w:val="003C4A3B"/>
    <w:rsid w:val="003D185D"/>
    <w:rsid w:val="003E0150"/>
    <w:rsid w:val="003E291F"/>
    <w:rsid w:val="003E7FED"/>
    <w:rsid w:val="003F563C"/>
    <w:rsid w:val="00400A3F"/>
    <w:rsid w:val="00407985"/>
    <w:rsid w:val="0041370A"/>
    <w:rsid w:val="00426A14"/>
    <w:rsid w:val="0043041D"/>
    <w:rsid w:val="004363F5"/>
    <w:rsid w:val="004374BD"/>
    <w:rsid w:val="004515CE"/>
    <w:rsid w:val="004538C1"/>
    <w:rsid w:val="00460AD0"/>
    <w:rsid w:val="00460C93"/>
    <w:rsid w:val="004632D1"/>
    <w:rsid w:val="004653CD"/>
    <w:rsid w:val="00487DF4"/>
    <w:rsid w:val="00492CE7"/>
    <w:rsid w:val="004948CB"/>
    <w:rsid w:val="004A4DC4"/>
    <w:rsid w:val="004A6E70"/>
    <w:rsid w:val="004B340B"/>
    <w:rsid w:val="004B5193"/>
    <w:rsid w:val="004C1AA7"/>
    <w:rsid w:val="004C5A34"/>
    <w:rsid w:val="004D502B"/>
    <w:rsid w:val="004D50B1"/>
    <w:rsid w:val="004E07B1"/>
    <w:rsid w:val="004E368E"/>
    <w:rsid w:val="004F3077"/>
    <w:rsid w:val="004F5251"/>
    <w:rsid w:val="004F6500"/>
    <w:rsid w:val="004F71C3"/>
    <w:rsid w:val="00506F2F"/>
    <w:rsid w:val="005107D2"/>
    <w:rsid w:val="00513BEE"/>
    <w:rsid w:val="005156DD"/>
    <w:rsid w:val="0052092B"/>
    <w:rsid w:val="00525B5B"/>
    <w:rsid w:val="00525B8A"/>
    <w:rsid w:val="005268DA"/>
    <w:rsid w:val="00542613"/>
    <w:rsid w:val="00550D51"/>
    <w:rsid w:val="00552CBD"/>
    <w:rsid w:val="00553F16"/>
    <w:rsid w:val="00561EAC"/>
    <w:rsid w:val="00575584"/>
    <w:rsid w:val="00580C87"/>
    <w:rsid w:val="005856EC"/>
    <w:rsid w:val="005873FD"/>
    <w:rsid w:val="00587422"/>
    <w:rsid w:val="00587562"/>
    <w:rsid w:val="00590651"/>
    <w:rsid w:val="00590C9A"/>
    <w:rsid w:val="00594126"/>
    <w:rsid w:val="005A6480"/>
    <w:rsid w:val="005A6D0D"/>
    <w:rsid w:val="005B66F0"/>
    <w:rsid w:val="005C31DB"/>
    <w:rsid w:val="005D6B9A"/>
    <w:rsid w:val="005D728C"/>
    <w:rsid w:val="005E28F2"/>
    <w:rsid w:val="005E2CED"/>
    <w:rsid w:val="005E47D9"/>
    <w:rsid w:val="005E527D"/>
    <w:rsid w:val="005E592B"/>
    <w:rsid w:val="005E5D9E"/>
    <w:rsid w:val="005F2B81"/>
    <w:rsid w:val="005F2BEC"/>
    <w:rsid w:val="00611E0D"/>
    <w:rsid w:val="0061559A"/>
    <w:rsid w:val="0062175B"/>
    <w:rsid w:val="006225BF"/>
    <w:rsid w:val="00637998"/>
    <w:rsid w:val="00644C80"/>
    <w:rsid w:val="0066495D"/>
    <w:rsid w:val="00667688"/>
    <w:rsid w:val="00670FFD"/>
    <w:rsid w:val="006766B5"/>
    <w:rsid w:val="00683434"/>
    <w:rsid w:val="00686FEB"/>
    <w:rsid w:val="0069113E"/>
    <w:rsid w:val="006913F2"/>
    <w:rsid w:val="00693846"/>
    <w:rsid w:val="006A0503"/>
    <w:rsid w:val="006A5C07"/>
    <w:rsid w:val="006B5360"/>
    <w:rsid w:val="006B6268"/>
    <w:rsid w:val="006C2349"/>
    <w:rsid w:val="006C2D66"/>
    <w:rsid w:val="006D3188"/>
    <w:rsid w:val="006D3DCC"/>
    <w:rsid w:val="006E2A00"/>
    <w:rsid w:val="006E3DB0"/>
    <w:rsid w:val="006E734E"/>
    <w:rsid w:val="006F3BB7"/>
    <w:rsid w:val="006F40A4"/>
    <w:rsid w:val="006F4E9C"/>
    <w:rsid w:val="006F7ADD"/>
    <w:rsid w:val="00701425"/>
    <w:rsid w:val="00703BF6"/>
    <w:rsid w:val="00705D2D"/>
    <w:rsid w:val="00705F21"/>
    <w:rsid w:val="007067CB"/>
    <w:rsid w:val="00710694"/>
    <w:rsid w:val="007232CE"/>
    <w:rsid w:val="00733A9D"/>
    <w:rsid w:val="00733C03"/>
    <w:rsid w:val="00734465"/>
    <w:rsid w:val="00735585"/>
    <w:rsid w:val="007358BF"/>
    <w:rsid w:val="00750A33"/>
    <w:rsid w:val="00753E9F"/>
    <w:rsid w:val="00765B49"/>
    <w:rsid w:val="00766124"/>
    <w:rsid w:val="00766F3E"/>
    <w:rsid w:val="00780F14"/>
    <w:rsid w:val="0078119D"/>
    <w:rsid w:val="00793A88"/>
    <w:rsid w:val="00795E84"/>
    <w:rsid w:val="007A7DF0"/>
    <w:rsid w:val="007B111C"/>
    <w:rsid w:val="007B1FC8"/>
    <w:rsid w:val="007B7B2D"/>
    <w:rsid w:val="007C0352"/>
    <w:rsid w:val="007C1A3D"/>
    <w:rsid w:val="007C2F2C"/>
    <w:rsid w:val="007C4A98"/>
    <w:rsid w:val="007D1AE4"/>
    <w:rsid w:val="007D276D"/>
    <w:rsid w:val="007D68A7"/>
    <w:rsid w:val="007E04E4"/>
    <w:rsid w:val="007E34AA"/>
    <w:rsid w:val="007E3519"/>
    <w:rsid w:val="007E50AA"/>
    <w:rsid w:val="007E6B04"/>
    <w:rsid w:val="007F02B6"/>
    <w:rsid w:val="00811E6B"/>
    <w:rsid w:val="008130D9"/>
    <w:rsid w:val="008134F6"/>
    <w:rsid w:val="00820D01"/>
    <w:rsid w:val="00820E31"/>
    <w:rsid w:val="0082485C"/>
    <w:rsid w:val="00825CE4"/>
    <w:rsid w:val="00826685"/>
    <w:rsid w:val="00833AE7"/>
    <w:rsid w:val="0083758C"/>
    <w:rsid w:val="00840B74"/>
    <w:rsid w:val="00840C2F"/>
    <w:rsid w:val="00842300"/>
    <w:rsid w:val="00846C59"/>
    <w:rsid w:val="00846DF2"/>
    <w:rsid w:val="00851636"/>
    <w:rsid w:val="00852A3C"/>
    <w:rsid w:val="00854D79"/>
    <w:rsid w:val="00855B35"/>
    <w:rsid w:val="00864E64"/>
    <w:rsid w:val="008769E2"/>
    <w:rsid w:val="00877A10"/>
    <w:rsid w:val="008821B8"/>
    <w:rsid w:val="0088526C"/>
    <w:rsid w:val="0089035A"/>
    <w:rsid w:val="00892492"/>
    <w:rsid w:val="008924D6"/>
    <w:rsid w:val="00894E5A"/>
    <w:rsid w:val="0089724D"/>
    <w:rsid w:val="008A48D0"/>
    <w:rsid w:val="008A57C6"/>
    <w:rsid w:val="008A6166"/>
    <w:rsid w:val="008B0EAD"/>
    <w:rsid w:val="008B2761"/>
    <w:rsid w:val="008B71E2"/>
    <w:rsid w:val="008C7258"/>
    <w:rsid w:val="008C7A1B"/>
    <w:rsid w:val="008D536A"/>
    <w:rsid w:val="008E418C"/>
    <w:rsid w:val="008F6D47"/>
    <w:rsid w:val="008F760E"/>
    <w:rsid w:val="008F78CE"/>
    <w:rsid w:val="00904FD3"/>
    <w:rsid w:val="00914C7E"/>
    <w:rsid w:val="00916990"/>
    <w:rsid w:val="00924E13"/>
    <w:rsid w:val="00926588"/>
    <w:rsid w:val="00944EE4"/>
    <w:rsid w:val="00946867"/>
    <w:rsid w:val="00950060"/>
    <w:rsid w:val="00952ABA"/>
    <w:rsid w:val="00955A88"/>
    <w:rsid w:val="00964897"/>
    <w:rsid w:val="00965D9F"/>
    <w:rsid w:val="00966DBC"/>
    <w:rsid w:val="00967143"/>
    <w:rsid w:val="009768AF"/>
    <w:rsid w:val="009949CB"/>
    <w:rsid w:val="00997AD5"/>
    <w:rsid w:val="009A4258"/>
    <w:rsid w:val="009A6B9F"/>
    <w:rsid w:val="009B3911"/>
    <w:rsid w:val="009C1614"/>
    <w:rsid w:val="009C2636"/>
    <w:rsid w:val="009D34B5"/>
    <w:rsid w:val="009D60C5"/>
    <w:rsid w:val="009D79A8"/>
    <w:rsid w:val="009F099C"/>
    <w:rsid w:val="009F4E96"/>
    <w:rsid w:val="009F64F2"/>
    <w:rsid w:val="009F7D2C"/>
    <w:rsid w:val="00A1151C"/>
    <w:rsid w:val="00A115CA"/>
    <w:rsid w:val="00A12866"/>
    <w:rsid w:val="00A17D4A"/>
    <w:rsid w:val="00A30CDE"/>
    <w:rsid w:val="00A32ABE"/>
    <w:rsid w:val="00A3359B"/>
    <w:rsid w:val="00A33CE3"/>
    <w:rsid w:val="00A37610"/>
    <w:rsid w:val="00A3799E"/>
    <w:rsid w:val="00A417AB"/>
    <w:rsid w:val="00A44200"/>
    <w:rsid w:val="00A453E5"/>
    <w:rsid w:val="00A47C3B"/>
    <w:rsid w:val="00A51AA4"/>
    <w:rsid w:val="00A533EB"/>
    <w:rsid w:val="00A5712B"/>
    <w:rsid w:val="00A71A96"/>
    <w:rsid w:val="00A76507"/>
    <w:rsid w:val="00A77EE9"/>
    <w:rsid w:val="00A8186A"/>
    <w:rsid w:val="00A93518"/>
    <w:rsid w:val="00A958EA"/>
    <w:rsid w:val="00A95A0D"/>
    <w:rsid w:val="00AA0776"/>
    <w:rsid w:val="00AA192A"/>
    <w:rsid w:val="00AA1F51"/>
    <w:rsid w:val="00AB15D8"/>
    <w:rsid w:val="00AC197B"/>
    <w:rsid w:val="00AC2784"/>
    <w:rsid w:val="00AD194A"/>
    <w:rsid w:val="00AD50F0"/>
    <w:rsid w:val="00AE0886"/>
    <w:rsid w:val="00AE26E8"/>
    <w:rsid w:val="00AE2CFF"/>
    <w:rsid w:val="00AE3567"/>
    <w:rsid w:val="00AE4CB8"/>
    <w:rsid w:val="00AE697F"/>
    <w:rsid w:val="00AF4D15"/>
    <w:rsid w:val="00AF5E77"/>
    <w:rsid w:val="00AF7C94"/>
    <w:rsid w:val="00B026B8"/>
    <w:rsid w:val="00B06019"/>
    <w:rsid w:val="00B2418B"/>
    <w:rsid w:val="00B321AC"/>
    <w:rsid w:val="00B35565"/>
    <w:rsid w:val="00B5283C"/>
    <w:rsid w:val="00B564E3"/>
    <w:rsid w:val="00B61013"/>
    <w:rsid w:val="00B61440"/>
    <w:rsid w:val="00B71195"/>
    <w:rsid w:val="00B84472"/>
    <w:rsid w:val="00B93F44"/>
    <w:rsid w:val="00B97FB8"/>
    <w:rsid w:val="00BA21D2"/>
    <w:rsid w:val="00BB7DB5"/>
    <w:rsid w:val="00BC6813"/>
    <w:rsid w:val="00BD4B4D"/>
    <w:rsid w:val="00BD7797"/>
    <w:rsid w:val="00BE4610"/>
    <w:rsid w:val="00BE67F7"/>
    <w:rsid w:val="00BF246E"/>
    <w:rsid w:val="00C0275B"/>
    <w:rsid w:val="00C06FF4"/>
    <w:rsid w:val="00C10993"/>
    <w:rsid w:val="00C14FC2"/>
    <w:rsid w:val="00C1558F"/>
    <w:rsid w:val="00C21AA9"/>
    <w:rsid w:val="00C26598"/>
    <w:rsid w:val="00C323C4"/>
    <w:rsid w:val="00C32809"/>
    <w:rsid w:val="00C37782"/>
    <w:rsid w:val="00C66C98"/>
    <w:rsid w:val="00C705ED"/>
    <w:rsid w:val="00C7249C"/>
    <w:rsid w:val="00C85045"/>
    <w:rsid w:val="00C87456"/>
    <w:rsid w:val="00C901F1"/>
    <w:rsid w:val="00C9392E"/>
    <w:rsid w:val="00C94BC7"/>
    <w:rsid w:val="00C959AE"/>
    <w:rsid w:val="00CA4AA8"/>
    <w:rsid w:val="00CE04DA"/>
    <w:rsid w:val="00CE1D27"/>
    <w:rsid w:val="00CE373F"/>
    <w:rsid w:val="00CE4436"/>
    <w:rsid w:val="00CF1AF8"/>
    <w:rsid w:val="00CF6330"/>
    <w:rsid w:val="00D00229"/>
    <w:rsid w:val="00D00DA1"/>
    <w:rsid w:val="00D04F89"/>
    <w:rsid w:val="00D06B21"/>
    <w:rsid w:val="00D115FB"/>
    <w:rsid w:val="00D131B1"/>
    <w:rsid w:val="00D15798"/>
    <w:rsid w:val="00D15968"/>
    <w:rsid w:val="00D425A4"/>
    <w:rsid w:val="00D51522"/>
    <w:rsid w:val="00D5171F"/>
    <w:rsid w:val="00D52478"/>
    <w:rsid w:val="00D55337"/>
    <w:rsid w:val="00D655BE"/>
    <w:rsid w:val="00D67023"/>
    <w:rsid w:val="00D70F6F"/>
    <w:rsid w:val="00D71949"/>
    <w:rsid w:val="00D7459C"/>
    <w:rsid w:val="00D75085"/>
    <w:rsid w:val="00D7649A"/>
    <w:rsid w:val="00D80752"/>
    <w:rsid w:val="00D82A2D"/>
    <w:rsid w:val="00D82D00"/>
    <w:rsid w:val="00D850AA"/>
    <w:rsid w:val="00D85A2F"/>
    <w:rsid w:val="00D8690E"/>
    <w:rsid w:val="00D87A41"/>
    <w:rsid w:val="00D952C7"/>
    <w:rsid w:val="00D9704D"/>
    <w:rsid w:val="00DA0DDA"/>
    <w:rsid w:val="00DA2DE1"/>
    <w:rsid w:val="00DB18E1"/>
    <w:rsid w:val="00DB3819"/>
    <w:rsid w:val="00DB4931"/>
    <w:rsid w:val="00DC5EC5"/>
    <w:rsid w:val="00DD30BD"/>
    <w:rsid w:val="00DD53F8"/>
    <w:rsid w:val="00DD6EFA"/>
    <w:rsid w:val="00DE174E"/>
    <w:rsid w:val="00DF6E7E"/>
    <w:rsid w:val="00E154DD"/>
    <w:rsid w:val="00E20930"/>
    <w:rsid w:val="00E212F4"/>
    <w:rsid w:val="00E25CCD"/>
    <w:rsid w:val="00E32A92"/>
    <w:rsid w:val="00E44389"/>
    <w:rsid w:val="00E470C3"/>
    <w:rsid w:val="00E479F1"/>
    <w:rsid w:val="00E50ECF"/>
    <w:rsid w:val="00E61273"/>
    <w:rsid w:val="00E63038"/>
    <w:rsid w:val="00E6682F"/>
    <w:rsid w:val="00E67CD4"/>
    <w:rsid w:val="00E722E1"/>
    <w:rsid w:val="00E74A15"/>
    <w:rsid w:val="00E80373"/>
    <w:rsid w:val="00E80517"/>
    <w:rsid w:val="00E82561"/>
    <w:rsid w:val="00E83A61"/>
    <w:rsid w:val="00E90D29"/>
    <w:rsid w:val="00E92947"/>
    <w:rsid w:val="00E95313"/>
    <w:rsid w:val="00E96B86"/>
    <w:rsid w:val="00EA3BF9"/>
    <w:rsid w:val="00EA4E1D"/>
    <w:rsid w:val="00EA6465"/>
    <w:rsid w:val="00EA6B00"/>
    <w:rsid w:val="00EB4758"/>
    <w:rsid w:val="00EB7E57"/>
    <w:rsid w:val="00EC3D24"/>
    <w:rsid w:val="00ED1A27"/>
    <w:rsid w:val="00ED4424"/>
    <w:rsid w:val="00ED5138"/>
    <w:rsid w:val="00EE0ED1"/>
    <w:rsid w:val="00EE1A11"/>
    <w:rsid w:val="00EE583F"/>
    <w:rsid w:val="00EF7B66"/>
    <w:rsid w:val="00F001DB"/>
    <w:rsid w:val="00F06E94"/>
    <w:rsid w:val="00F103EE"/>
    <w:rsid w:val="00F13CCB"/>
    <w:rsid w:val="00F14F1E"/>
    <w:rsid w:val="00F20CA9"/>
    <w:rsid w:val="00F27047"/>
    <w:rsid w:val="00F32F3D"/>
    <w:rsid w:val="00F42FB9"/>
    <w:rsid w:val="00F606C5"/>
    <w:rsid w:val="00F64257"/>
    <w:rsid w:val="00F71F49"/>
    <w:rsid w:val="00F76B7F"/>
    <w:rsid w:val="00F81D49"/>
    <w:rsid w:val="00F85F12"/>
    <w:rsid w:val="00F911A8"/>
    <w:rsid w:val="00F95934"/>
    <w:rsid w:val="00FA3E61"/>
    <w:rsid w:val="00FB689B"/>
    <w:rsid w:val="00FB792F"/>
    <w:rsid w:val="00FC338D"/>
    <w:rsid w:val="00FC5126"/>
    <w:rsid w:val="00FE0C23"/>
    <w:rsid w:val="00FE3598"/>
    <w:rsid w:val="00FE402B"/>
    <w:rsid w:val="00FE4F06"/>
    <w:rsid w:val="00FE6824"/>
    <w:rsid w:val="00FF0C64"/>
    <w:rsid w:val="00FF1E9C"/>
    <w:rsid w:val="00FF4AF9"/>
    <w:rsid w:val="00FF515B"/>
    <w:rsid w:val="00FF6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CB249D"/>
  <w15:docId w15:val="{CB895CED-DD23-4EBA-8F11-DF32BE4A1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6D3DCC"/>
    <w:rPr>
      <w:sz w:val="24"/>
      <w:szCs w:val="24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F6330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6D3DCC"/>
    <w:pPr>
      <w:tabs>
        <w:tab w:val="center" w:pos="4703"/>
        <w:tab w:val="right" w:pos="9406"/>
      </w:tabs>
    </w:pPr>
  </w:style>
  <w:style w:type="paragraph" w:styleId="Noga">
    <w:name w:val="footer"/>
    <w:basedOn w:val="Navaden"/>
    <w:rsid w:val="006D3DCC"/>
    <w:pPr>
      <w:tabs>
        <w:tab w:val="center" w:pos="4703"/>
        <w:tab w:val="right" w:pos="9406"/>
      </w:tabs>
    </w:pPr>
  </w:style>
  <w:style w:type="table" w:styleId="Tabelamrea">
    <w:name w:val="Table Grid"/>
    <w:basedOn w:val="Navadnatabela"/>
    <w:uiPriority w:val="39"/>
    <w:rsid w:val="006D3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rsid w:val="006D3DCC"/>
    <w:rPr>
      <w:color w:val="0000FF"/>
      <w:u w:val="single"/>
    </w:rPr>
  </w:style>
  <w:style w:type="paragraph" w:styleId="Besedilooblaka">
    <w:name w:val="Balloon Text"/>
    <w:basedOn w:val="Navaden"/>
    <w:semiHidden/>
    <w:rsid w:val="00313CE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611D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vadensplet">
    <w:name w:val="Normal (Web)"/>
    <w:basedOn w:val="Navaden"/>
    <w:rsid w:val="00AA192A"/>
    <w:pPr>
      <w:spacing w:after="210"/>
    </w:pPr>
    <w:rPr>
      <w:color w:val="333333"/>
      <w:sz w:val="18"/>
      <w:szCs w:val="18"/>
    </w:rPr>
  </w:style>
  <w:style w:type="character" w:styleId="Pripombasklic">
    <w:name w:val="annotation reference"/>
    <w:basedOn w:val="Privzetapisavaodstavka"/>
    <w:semiHidden/>
    <w:rsid w:val="008C7A1B"/>
    <w:rPr>
      <w:rFonts w:cs="Times New Roman"/>
      <w:sz w:val="16"/>
      <w:szCs w:val="16"/>
    </w:rPr>
  </w:style>
  <w:style w:type="paragraph" w:styleId="Napis">
    <w:name w:val="caption"/>
    <w:basedOn w:val="Navaden"/>
    <w:next w:val="Navaden"/>
    <w:uiPriority w:val="99"/>
    <w:qFormat/>
    <w:rsid w:val="00DB4931"/>
    <w:rPr>
      <w:b/>
      <w:bCs/>
      <w:sz w:val="20"/>
      <w:szCs w:val="20"/>
    </w:rPr>
  </w:style>
  <w:style w:type="paragraph" w:styleId="Telobesedila">
    <w:name w:val="Body Text"/>
    <w:aliases w:val="Telo besedila Znak Znak Znak Znak,Telo besedila Znak Znak Znak,Telo besedila Znak Znak Znak Znak Znak Znak Znak Znak"/>
    <w:basedOn w:val="Navaden"/>
    <w:link w:val="TelobesedilaZnak"/>
    <w:uiPriority w:val="99"/>
    <w:rsid w:val="00DB4931"/>
    <w:pPr>
      <w:jc w:val="both"/>
    </w:pPr>
    <w:rPr>
      <w:sz w:val="28"/>
      <w:szCs w:val="20"/>
    </w:rPr>
  </w:style>
  <w:style w:type="character" w:customStyle="1" w:styleId="TelobesedilaZnak">
    <w:name w:val="Telo besedila Znak"/>
    <w:aliases w:val="Telo besedila Znak Znak Znak Znak Znak,Telo besedila Znak Znak Znak Znak1,Telo besedila Znak Znak Znak Znak Znak Znak Znak Znak Znak"/>
    <w:basedOn w:val="Privzetapisavaodstavka"/>
    <w:link w:val="Telobesedila"/>
    <w:uiPriority w:val="99"/>
    <w:rsid w:val="00DB4931"/>
    <w:rPr>
      <w:sz w:val="28"/>
    </w:rPr>
  </w:style>
  <w:style w:type="paragraph" w:customStyle="1" w:styleId="BasicParagraph">
    <w:name w:val="[Basic Paragraph]"/>
    <w:basedOn w:val="Navaden"/>
    <w:uiPriority w:val="99"/>
    <w:rsid w:val="00136704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color w:val="000000"/>
      <w:lang w:val="en-US" w:eastAsia="en-US"/>
    </w:rPr>
  </w:style>
  <w:style w:type="character" w:customStyle="1" w:styleId="10ptregular">
    <w:name w:val="10 pt regular"/>
    <w:uiPriority w:val="99"/>
    <w:rsid w:val="00136704"/>
    <w:rPr>
      <w:rFonts w:ascii="EnotaKlavika" w:hAnsi="EnotaKlavika" w:cs="EnotaKlavika"/>
      <w:sz w:val="20"/>
      <w:szCs w:val="20"/>
    </w:rPr>
  </w:style>
  <w:style w:type="paragraph" w:styleId="Odstavekseznama">
    <w:name w:val="List Paragraph"/>
    <w:aliases w:val="naslov 1,Odstavek seznama_IP,Seznam_IP_1"/>
    <w:basedOn w:val="Navaden"/>
    <w:link w:val="OdstavekseznamaZnak"/>
    <w:uiPriority w:val="34"/>
    <w:qFormat/>
    <w:rsid w:val="00FE4F06"/>
    <w:pPr>
      <w:ind w:left="708"/>
    </w:pPr>
    <w:rPr>
      <w:szCs w:val="20"/>
    </w:rPr>
  </w:style>
  <w:style w:type="character" w:styleId="Krepko">
    <w:name w:val="Strong"/>
    <w:qFormat/>
    <w:rsid w:val="00FE4F06"/>
    <w:rPr>
      <w:rFonts w:cs="Times New Roman"/>
      <w:b/>
      <w:bCs/>
    </w:rPr>
  </w:style>
  <w:style w:type="character" w:customStyle="1" w:styleId="Naslov2Znak">
    <w:name w:val="Naslov 2 Znak"/>
    <w:basedOn w:val="Privzetapisavaodstavka"/>
    <w:link w:val="Naslov2"/>
    <w:uiPriority w:val="9"/>
    <w:rsid w:val="00CF6330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GlavaZnak">
    <w:name w:val="Glava Znak"/>
    <w:link w:val="Glava"/>
    <w:rsid w:val="00D85A2F"/>
    <w:rPr>
      <w:sz w:val="24"/>
      <w:szCs w:val="24"/>
    </w:rPr>
  </w:style>
  <w:style w:type="character" w:customStyle="1" w:styleId="OdstavekseznamaZnak">
    <w:name w:val="Odstavek seznama Znak"/>
    <w:aliases w:val="naslov 1 Znak,Odstavek seznama_IP Znak,Seznam_IP_1 Znak"/>
    <w:basedOn w:val="Privzetapisavaodstavka"/>
    <w:link w:val="Odstavekseznama"/>
    <w:uiPriority w:val="34"/>
    <w:locked/>
    <w:rsid w:val="005E5D9E"/>
    <w:rPr>
      <w:sz w:val="24"/>
    </w:rPr>
  </w:style>
  <w:style w:type="paragraph" w:styleId="Brezrazmikov">
    <w:name w:val="No Spacing"/>
    <w:uiPriority w:val="1"/>
    <w:qFormat/>
    <w:rsid w:val="00AE4C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4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7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6636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2158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3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26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7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32911">
              <w:marLeft w:val="0"/>
              <w:marRight w:val="4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53943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5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02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22035">
              <w:marLeft w:val="0"/>
              <w:marRight w:val="4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43178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53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7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39E20DA-CB06-40AF-BBDB-31BE529DF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554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Kašman</dc:creator>
  <cp:lastModifiedBy>Matej Gajser</cp:lastModifiedBy>
  <cp:revision>7</cp:revision>
  <cp:lastPrinted>2021-02-15T11:51:00Z</cp:lastPrinted>
  <dcterms:created xsi:type="dcterms:W3CDTF">2021-06-03T07:21:00Z</dcterms:created>
  <dcterms:modified xsi:type="dcterms:W3CDTF">2021-06-04T09:41:00Z</dcterms:modified>
</cp:coreProperties>
</file>