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B8" w:rsidRPr="00E754A3" w:rsidRDefault="00195CB8" w:rsidP="00195CB8">
      <w:pPr>
        <w:rPr>
          <w:sz w:val="28"/>
          <w:szCs w:val="28"/>
        </w:rPr>
      </w:pPr>
      <w:r>
        <w:tab/>
        <w:t xml:space="preserve">                                                                                                                </w:t>
      </w:r>
    </w:p>
    <w:p w:rsidR="00195CB8" w:rsidRDefault="00195CB8" w:rsidP="00195CB8"/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83820</wp:posOffset>
            </wp:positionV>
            <wp:extent cx="1322070" cy="154686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jc w:val="center"/>
        <w:rPr>
          <w:bCs/>
        </w:rPr>
      </w:pPr>
    </w:p>
    <w:p w:rsidR="00195CB8" w:rsidRDefault="00195CB8" w:rsidP="00195CB8">
      <w:pPr>
        <w:rPr>
          <w:bCs/>
        </w:rPr>
      </w:pPr>
    </w:p>
    <w:p w:rsidR="00195CB8" w:rsidRDefault="00195CB8" w:rsidP="00195CB8">
      <w:pPr>
        <w:ind w:left="708" w:hanging="16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POROČILO  O  IZVRŠEVANJU </w:t>
      </w:r>
    </w:p>
    <w:p w:rsidR="00195CB8" w:rsidRDefault="00195CB8" w:rsidP="00195CB8">
      <w:pPr>
        <w:ind w:left="708" w:hanging="168"/>
        <w:jc w:val="center"/>
        <w:rPr>
          <w:b/>
          <w:bCs/>
          <w:sz w:val="44"/>
          <w:szCs w:val="44"/>
        </w:rPr>
      </w:pPr>
    </w:p>
    <w:p w:rsidR="00195CB8" w:rsidRPr="00EA72E2" w:rsidRDefault="00195CB8" w:rsidP="00195CB8">
      <w:pPr>
        <w:ind w:left="708" w:hanging="16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PRORAČUNA  OBČINE  LOŠKI  POTOK</w:t>
      </w:r>
    </w:p>
    <w:p w:rsidR="00195CB8" w:rsidRPr="00EA72E2" w:rsidRDefault="00195CB8" w:rsidP="00195CB8">
      <w:pPr>
        <w:jc w:val="center"/>
        <w:rPr>
          <w:b/>
          <w:bCs/>
          <w:sz w:val="44"/>
          <w:szCs w:val="44"/>
        </w:rPr>
      </w:pPr>
    </w:p>
    <w:p w:rsidR="00195CB8" w:rsidRPr="00EA72E2" w:rsidRDefault="00B74B39" w:rsidP="00195CB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 PRVEM  POLLETJU  LETA  2016</w:t>
      </w:r>
    </w:p>
    <w:p w:rsidR="00195CB8" w:rsidRPr="00EA72E2" w:rsidRDefault="00195CB8" w:rsidP="00195CB8">
      <w:pPr>
        <w:jc w:val="center"/>
        <w:rPr>
          <w:b/>
          <w:bCs/>
          <w:sz w:val="44"/>
          <w:szCs w:val="44"/>
        </w:rPr>
      </w:pPr>
    </w:p>
    <w:p w:rsidR="00195CB8" w:rsidRPr="00EA72E2" w:rsidRDefault="00195CB8" w:rsidP="00195CB8">
      <w:pPr>
        <w:jc w:val="center"/>
        <w:rPr>
          <w:b/>
          <w:bCs/>
          <w:sz w:val="44"/>
          <w:szCs w:val="44"/>
        </w:rPr>
      </w:pPr>
    </w:p>
    <w:p w:rsidR="00195CB8" w:rsidRPr="00EA72E2" w:rsidRDefault="00195CB8" w:rsidP="00195CB8">
      <w:pPr>
        <w:rPr>
          <w:b/>
          <w:bCs/>
          <w:sz w:val="44"/>
          <w:szCs w:val="44"/>
        </w:rPr>
      </w:pPr>
    </w:p>
    <w:p w:rsidR="00195CB8" w:rsidRPr="00633A19" w:rsidRDefault="00195CB8" w:rsidP="00195CB8">
      <w:pPr>
        <w:rPr>
          <w:b/>
          <w:bCs/>
          <w:sz w:val="40"/>
          <w:szCs w:val="40"/>
        </w:rPr>
      </w:pPr>
    </w:p>
    <w:p w:rsidR="00195CB8" w:rsidRPr="00633A19" w:rsidRDefault="00195CB8" w:rsidP="00195CB8">
      <w:pPr>
        <w:rPr>
          <w:bCs/>
          <w:sz w:val="40"/>
          <w:szCs w:val="40"/>
        </w:rPr>
      </w:pPr>
    </w:p>
    <w:p w:rsidR="00195CB8" w:rsidRDefault="00195CB8" w:rsidP="00195CB8">
      <w:pPr>
        <w:rPr>
          <w:bCs/>
          <w:sz w:val="40"/>
          <w:szCs w:val="40"/>
        </w:rPr>
      </w:pPr>
    </w:p>
    <w:p w:rsidR="00195CB8" w:rsidRDefault="00195CB8" w:rsidP="00195CB8">
      <w:pPr>
        <w:rPr>
          <w:bCs/>
        </w:rPr>
      </w:pPr>
    </w:p>
    <w:p w:rsidR="00195CB8" w:rsidRPr="00633A19" w:rsidRDefault="00195CB8" w:rsidP="00195CB8">
      <w:pPr>
        <w:rPr>
          <w:b/>
          <w:sz w:val="40"/>
          <w:szCs w:val="40"/>
        </w:rPr>
      </w:pPr>
    </w:p>
    <w:p w:rsidR="00195CB8" w:rsidRDefault="00195CB8" w:rsidP="00195CB8">
      <w:pPr>
        <w:pStyle w:val="Naslov8"/>
      </w:pPr>
    </w:p>
    <w:p w:rsidR="00195CB8" w:rsidRDefault="00195CB8" w:rsidP="00195CB8">
      <w:pPr>
        <w:pStyle w:val="Naslov8"/>
      </w:pPr>
      <w:r>
        <w:t xml:space="preserve">Loški </w:t>
      </w:r>
      <w:r w:rsidR="00B74B39">
        <w:t>Potok, september 2016</w:t>
      </w:r>
    </w:p>
    <w:p w:rsidR="00195CB8" w:rsidRDefault="00195CB8"/>
    <w:p w:rsidR="00195CB8" w:rsidRDefault="00195CB8"/>
    <w:p w:rsidR="00195CB8" w:rsidRDefault="00195CB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4770"/>
      </w:tblGrid>
      <w:tr w:rsidR="00EB384E" w:rsidTr="008E4988">
        <w:tc>
          <w:tcPr>
            <w:tcW w:w="2160" w:type="dxa"/>
          </w:tcPr>
          <w:p w:rsidR="00EB384E" w:rsidRDefault="00EB384E" w:rsidP="008E4988">
            <w:pPr>
              <w:pStyle w:val="Naslov5"/>
            </w:pPr>
            <w:r>
              <w:lastRenderedPageBreak/>
              <w:t>OBČINA</w:t>
            </w:r>
          </w:p>
          <w:p w:rsidR="00EB384E" w:rsidRDefault="00EB384E" w:rsidP="008E4988">
            <w:pPr>
              <w:jc w:val="center"/>
              <w:rPr>
                <w:b/>
              </w:rPr>
            </w:pPr>
            <w:r>
              <w:rPr>
                <w:b/>
              </w:rPr>
              <w:t>LOŠKI POTOK</w:t>
            </w:r>
          </w:p>
          <w:p w:rsidR="00EB384E" w:rsidRDefault="00EB384E" w:rsidP="008E4988">
            <w:pPr>
              <w:jc w:val="center"/>
              <w:rPr>
                <w:b/>
              </w:rPr>
            </w:pPr>
            <w:r>
              <w:rPr>
                <w:b/>
              </w:rPr>
              <w:t>Hrib 17</w:t>
            </w:r>
          </w:p>
          <w:p w:rsidR="00EB384E" w:rsidRDefault="00EB384E" w:rsidP="008E4988">
            <w:pPr>
              <w:jc w:val="center"/>
              <w:rPr>
                <w:b/>
              </w:rPr>
            </w:pPr>
            <w:r>
              <w:rPr>
                <w:b/>
              </w:rPr>
              <w:t>1318 Loški Potok</w:t>
            </w:r>
          </w:p>
          <w:p w:rsidR="00EB384E" w:rsidRDefault="00EB384E" w:rsidP="008E4988">
            <w:pPr>
              <w:jc w:val="center"/>
              <w:rPr>
                <w:b/>
              </w:rPr>
            </w:pPr>
            <w:r>
              <w:rPr>
                <w:b/>
              </w:rPr>
              <w:t>Tel.: 8350-106</w:t>
            </w:r>
          </w:p>
          <w:p w:rsidR="00EB384E" w:rsidRDefault="00EB384E" w:rsidP="008E49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Fax</w:t>
            </w:r>
            <w:proofErr w:type="spellEnd"/>
            <w:r>
              <w:rPr>
                <w:b/>
              </w:rPr>
              <w:t>.: 8350-102</w:t>
            </w:r>
          </w:p>
        </w:tc>
        <w:tc>
          <w:tcPr>
            <w:tcW w:w="4770" w:type="dxa"/>
          </w:tcPr>
          <w:p w:rsidR="00EB384E" w:rsidRDefault="00EB384E" w:rsidP="008E498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B3AADC" wp14:editId="30AE994F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-4445</wp:posOffset>
                  </wp:positionV>
                  <wp:extent cx="863600" cy="1028700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384E" w:rsidRDefault="00EB384E" w:rsidP="00EB384E">
      <w:r>
        <w:t xml:space="preserve">OBČINSKI SVET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6B4FA9">
        <w:t>ESA:</w:t>
      </w:r>
    </w:p>
    <w:p w:rsidR="00EB384E" w:rsidRDefault="00EB384E" w:rsidP="00EB384E"/>
    <w:p w:rsidR="009D0D53" w:rsidRPr="0082711D" w:rsidRDefault="009D0D53" w:rsidP="009D0D53">
      <w:pPr>
        <w:rPr>
          <w:szCs w:val="20"/>
        </w:rPr>
      </w:pPr>
      <w:r w:rsidRPr="0082711D">
        <w:rPr>
          <w:szCs w:val="20"/>
        </w:rPr>
        <w:t>Datum:</w:t>
      </w:r>
      <w:r w:rsidR="006278F0">
        <w:rPr>
          <w:szCs w:val="20"/>
        </w:rPr>
        <w:t xml:space="preserve"> 1</w:t>
      </w:r>
      <w:bookmarkStart w:id="0" w:name="_GoBack"/>
      <w:bookmarkEnd w:id="0"/>
      <w:r w:rsidR="006278F0">
        <w:rPr>
          <w:szCs w:val="20"/>
        </w:rPr>
        <w:t>9.9.2016</w:t>
      </w:r>
    </w:p>
    <w:p w:rsidR="009D0D53" w:rsidRPr="0082711D" w:rsidRDefault="009D0D53" w:rsidP="009D0D53">
      <w:pPr>
        <w:jc w:val="both"/>
        <w:rPr>
          <w:color w:val="222222"/>
        </w:rPr>
      </w:pPr>
    </w:p>
    <w:p w:rsidR="009D0D53" w:rsidRDefault="009D0D53" w:rsidP="009D0D53">
      <w:pPr>
        <w:rPr>
          <w:b/>
          <w:caps/>
          <w:sz w:val="28"/>
          <w:szCs w:val="28"/>
        </w:rPr>
      </w:pPr>
      <w:r w:rsidRPr="0082711D">
        <w:rPr>
          <w:b/>
          <w:color w:val="222222"/>
        </w:rPr>
        <w:t>ZADEVA:</w:t>
      </w:r>
      <w:r w:rsidRPr="0082711D">
        <w:rPr>
          <w:b/>
          <w:color w:val="222222"/>
        </w:rPr>
        <w:tab/>
      </w:r>
      <w:r w:rsidRPr="003D60B3">
        <w:rPr>
          <w:b/>
          <w:caps/>
          <w:sz w:val="28"/>
          <w:szCs w:val="28"/>
        </w:rPr>
        <w:t>Poročilo o izvrševa</w:t>
      </w:r>
      <w:r>
        <w:rPr>
          <w:b/>
          <w:caps/>
          <w:sz w:val="28"/>
          <w:szCs w:val="28"/>
        </w:rPr>
        <w:t xml:space="preserve">nju proračuna občine  </w:t>
      </w:r>
    </w:p>
    <w:p w:rsidR="009D0D53" w:rsidRPr="003D60B3" w:rsidRDefault="009D0D53" w:rsidP="009D0D5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LOŠKI </w:t>
      </w:r>
      <w:r w:rsidR="006278F0">
        <w:rPr>
          <w:b/>
          <w:caps/>
          <w:sz w:val="28"/>
          <w:szCs w:val="28"/>
        </w:rPr>
        <w:t>POTOK V PRVEM POLLETJU LETA 2016</w:t>
      </w:r>
      <w:r>
        <w:rPr>
          <w:b/>
          <w:caps/>
          <w:sz w:val="28"/>
          <w:szCs w:val="28"/>
        </w:rPr>
        <w:t xml:space="preserve">                                      </w:t>
      </w:r>
      <w:r w:rsidRPr="003D60B3">
        <w:rPr>
          <w:b/>
          <w:caps/>
          <w:sz w:val="28"/>
          <w:szCs w:val="28"/>
        </w:rPr>
        <w:t xml:space="preserve">         </w:t>
      </w:r>
    </w:p>
    <w:p w:rsidR="009D0D53" w:rsidRPr="003D60B3" w:rsidRDefault="009D0D53" w:rsidP="009D0D53">
      <w:pPr>
        <w:tabs>
          <w:tab w:val="left" w:pos="1985"/>
        </w:tabs>
        <w:jc w:val="both"/>
        <w:rPr>
          <w:b/>
          <w:caps/>
          <w:color w:val="222222"/>
          <w:sz w:val="28"/>
          <w:szCs w:val="28"/>
        </w:rPr>
      </w:pPr>
      <w:r w:rsidRPr="003D60B3">
        <w:rPr>
          <w:b/>
          <w:caps/>
          <w:color w:val="222222"/>
          <w:sz w:val="28"/>
          <w:szCs w:val="28"/>
        </w:rPr>
        <w:t xml:space="preserve">                   </w:t>
      </w:r>
      <w:r>
        <w:rPr>
          <w:b/>
          <w:caps/>
          <w:color w:val="222222"/>
          <w:sz w:val="28"/>
          <w:szCs w:val="28"/>
        </w:rPr>
        <w:t xml:space="preserve">                                                                       </w:t>
      </w:r>
      <w:r w:rsidRPr="003D60B3">
        <w:rPr>
          <w:b/>
          <w:caps/>
          <w:color w:val="222222"/>
          <w:sz w:val="28"/>
          <w:szCs w:val="28"/>
        </w:rPr>
        <w:t xml:space="preserve"> </w:t>
      </w:r>
      <w:r>
        <w:rPr>
          <w:b/>
          <w:caps/>
          <w:color w:val="222222"/>
          <w:sz w:val="28"/>
          <w:szCs w:val="28"/>
        </w:rPr>
        <w:t xml:space="preserve"> </w:t>
      </w:r>
    </w:p>
    <w:p w:rsidR="009D0D53" w:rsidRPr="0082711D" w:rsidRDefault="009D0D53" w:rsidP="009D0D53">
      <w:pPr>
        <w:tabs>
          <w:tab w:val="left" w:pos="1985"/>
        </w:tabs>
        <w:jc w:val="both"/>
        <w:rPr>
          <w:b/>
          <w:color w:val="222222"/>
        </w:rPr>
      </w:pPr>
    </w:p>
    <w:p w:rsidR="009D0D53" w:rsidRPr="0082711D" w:rsidRDefault="009D0D53" w:rsidP="009D0D53">
      <w:pPr>
        <w:tabs>
          <w:tab w:val="left" w:pos="1985"/>
        </w:tabs>
        <w:ind w:left="1985" w:hanging="1985"/>
        <w:jc w:val="both"/>
        <w:rPr>
          <w:color w:val="222222"/>
        </w:rPr>
      </w:pPr>
      <w:r w:rsidRPr="0082711D">
        <w:rPr>
          <w:b/>
          <w:color w:val="222222"/>
        </w:rPr>
        <w:t>PRAVNA PODLAGA:</w:t>
      </w:r>
      <w:r w:rsidRPr="0082711D">
        <w:rPr>
          <w:color w:val="222222"/>
        </w:rPr>
        <w:t xml:space="preserve"> </w:t>
      </w:r>
      <w:r>
        <w:rPr>
          <w:color w:val="222222"/>
        </w:rPr>
        <w:t xml:space="preserve">63. člen Zakona o javnih financah </w:t>
      </w:r>
    </w:p>
    <w:p w:rsidR="009D0D53" w:rsidRPr="0082711D" w:rsidRDefault="009D0D53" w:rsidP="009D0D53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9D0D53" w:rsidRPr="0082711D" w:rsidRDefault="009D0D53" w:rsidP="009D0D53">
      <w:pPr>
        <w:tabs>
          <w:tab w:val="left" w:pos="1985"/>
        </w:tabs>
        <w:ind w:left="1985" w:hanging="1985"/>
        <w:jc w:val="both"/>
        <w:rPr>
          <w:b/>
          <w:color w:val="222222"/>
        </w:rPr>
      </w:pPr>
      <w:r w:rsidRPr="0082711D">
        <w:rPr>
          <w:b/>
          <w:color w:val="222222"/>
        </w:rPr>
        <w:t>PREDLAGATELJ:</w:t>
      </w:r>
      <w:r w:rsidRPr="0082711D">
        <w:rPr>
          <w:b/>
          <w:color w:val="222222"/>
        </w:rPr>
        <w:tab/>
      </w:r>
      <w:r w:rsidRPr="0082711D">
        <w:rPr>
          <w:color w:val="222222"/>
        </w:rPr>
        <w:t>Ivan Benčina, župan</w:t>
      </w:r>
    </w:p>
    <w:p w:rsidR="009D0D53" w:rsidRPr="0082711D" w:rsidRDefault="009D0D53" w:rsidP="009D0D53">
      <w:pPr>
        <w:tabs>
          <w:tab w:val="left" w:pos="7180"/>
        </w:tabs>
        <w:ind w:left="1985" w:hanging="1985"/>
        <w:jc w:val="both"/>
        <w:rPr>
          <w:color w:val="222222"/>
        </w:rPr>
      </w:pPr>
      <w:r w:rsidRPr="0082711D">
        <w:rPr>
          <w:color w:val="222222"/>
        </w:rPr>
        <w:tab/>
      </w:r>
      <w:r w:rsidRPr="0082711D">
        <w:rPr>
          <w:color w:val="222222"/>
        </w:rPr>
        <w:tab/>
      </w:r>
    </w:p>
    <w:p w:rsidR="009D0D53" w:rsidRPr="001E1F51" w:rsidRDefault="009D0D53" w:rsidP="009D0D53">
      <w:pPr>
        <w:tabs>
          <w:tab w:val="left" w:pos="1985"/>
        </w:tabs>
        <w:ind w:left="1985" w:hanging="1985"/>
        <w:jc w:val="both"/>
        <w:rPr>
          <w:color w:val="222222"/>
        </w:rPr>
      </w:pPr>
      <w:r w:rsidRPr="0082711D">
        <w:rPr>
          <w:b/>
          <w:color w:val="222222"/>
        </w:rPr>
        <w:t>PRIPRAVLJAVCI:</w:t>
      </w:r>
      <w:r w:rsidRPr="0082711D">
        <w:rPr>
          <w:b/>
          <w:color w:val="222222"/>
        </w:rPr>
        <w:tab/>
      </w:r>
      <w:r w:rsidRPr="001E1F51">
        <w:rPr>
          <w:color w:val="222222"/>
        </w:rPr>
        <w:t>Občinska uprava Občine LOŠKI POTOK</w:t>
      </w:r>
    </w:p>
    <w:p w:rsidR="009D0D53" w:rsidRPr="001E1F51" w:rsidRDefault="009D0D53" w:rsidP="009D0D53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9D0D53" w:rsidRPr="0082711D" w:rsidRDefault="009D0D53" w:rsidP="009D0D53">
      <w:pPr>
        <w:tabs>
          <w:tab w:val="left" w:pos="1985"/>
        </w:tabs>
        <w:ind w:left="1985" w:hanging="1985"/>
        <w:jc w:val="both"/>
        <w:rPr>
          <w:color w:val="222222"/>
        </w:rPr>
      </w:pPr>
      <w:r>
        <w:rPr>
          <w:b/>
          <w:color w:val="222222"/>
        </w:rPr>
        <w:t>POROČEVALEC</w:t>
      </w:r>
      <w:r w:rsidRPr="0082711D">
        <w:rPr>
          <w:color w:val="222222"/>
        </w:rPr>
        <w:t>:  Ivanka Novak</w:t>
      </w:r>
    </w:p>
    <w:p w:rsidR="009D0D53" w:rsidRPr="0082711D" w:rsidRDefault="009D0D53" w:rsidP="009D0D53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9D0D53" w:rsidRPr="0082711D" w:rsidRDefault="009D0D53" w:rsidP="009D0D53">
      <w:pPr>
        <w:tabs>
          <w:tab w:val="left" w:pos="1985"/>
        </w:tabs>
        <w:ind w:left="1985" w:hanging="1985"/>
        <w:jc w:val="both"/>
        <w:rPr>
          <w:b/>
          <w:color w:val="222222"/>
        </w:rPr>
      </w:pPr>
      <w:r w:rsidRPr="0082711D">
        <w:rPr>
          <w:b/>
          <w:color w:val="222222"/>
        </w:rPr>
        <w:t>OBRAZLOŽITEV:</w:t>
      </w:r>
    </w:p>
    <w:p w:rsidR="009D0D53" w:rsidRDefault="009D0D53" w:rsidP="009D0D53">
      <w:pPr>
        <w:jc w:val="center"/>
        <w:rPr>
          <w:b/>
        </w:rPr>
      </w:pPr>
    </w:p>
    <w:p w:rsidR="009D0D53" w:rsidRDefault="009D0D53" w:rsidP="009D0D53">
      <w:pPr>
        <w:jc w:val="both"/>
      </w:pPr>
      <w:r>
        <w:t>Na podlagi 63. člena Zakona o javnih financah župan poroča občinskemu svetu o izvrševanju proračuna v prvem polletju tekočega leta.</w:t>
      </w:r>
    </w:p>
    <w:p w:rsidR="009D0D53" w:rsidRDefault="009D0D53" w:rsidP="009D0D53">
      <w:pPr>
        <w:jc w:val="both"/>
      </w:pPr>
    </w:p>
    <w:p w:rsidR="009D0D53" w:rsidRDefault="009D0D53" w:rsidP="009D0D53">
      <w:pPr>
        <w:jc w:val="both"/>
      </w:pPr>
      <w:r>
        <w:t>Poročilo o izvrševanju proračuna prikazuje realizacijo prihodkov in odhodkov za prvo obdobje letošnjega leta  od 1.1.  do 30.06.2015.</w:t>
      </w:r>
    </w:p>
    <w:p w:rsidR="009D0D53" w:rsidRDefault="009D0D53" w:rsidP="009D0D53">
      <w:pPr>
        <w:jc w:val="both"/>
      </w:pPr>
    </w:p>
    <w:p w:rsidR="009D0D53" w:rsidRDefault="009D0D53" w:rsidP="009D0D53">
      <w:pPr>
        <w:jc w:val="both"/>
      </w:pPr>
      <w:r>
        <w:t xml:space="preserve">Realizacija proračunskih prihodkov in odhodkov je prikazana: </w:t>
      </w:r>
    </w:p>
    <w:p w:rsidR="009D0D53" w:rsidRDefault="009D0D53" w:rsidP="009D0D53">
      <w:pPr>
        <w:numPr>
          <w:ilvl w:val="0"/>
          <w:numId w:val="1"/>
        </w:numPr>
        <w:jc w:val="both"/>
      </w:pPr>
      <w:r>
        <w:t xml:space="preserve">I. v  splošnem delu proračuna in </w:t>
      </w:r>
    </w:p>
    <w:p w:rsidR="009D0D53" w:rsidRDefault="009D0D53" w:rsidP="009D0D53">
      <w:pPr>
        <w:numPr>
          <w:ilvl w:val="0"/>
          <w:numId w:val="1"/>
        </w:numPr>
        <w:jc w:val="both"/>
      </w:pPr>
      <w:r>
        <w:t>II. v  posebnem delu proračuna</w:t>
      </w:r>
    </w:p>
    <w:p w:rsidR="009D0D53" w:rsidRDefault="009D0D53" w:rsidP="009D0D53">
      <w:pPr>
        <w:jc w:val="both"/>
      </w:pPr>
      <w:r>
        <w:t>in sicer ko</w:t>
      </w:r>
      <w:r w:rsidR="006278F0">
        <w:t>t sprejeti proračun za leto 2016, veljavni proračun za leto 2016</w:t>
      </w:r>
      <w:r>
        <w:t xml:space="preserve">  in  realizacija na</w:t>
      </w:r>
      <w:r w:rsidR="006278F0">
        <w:t xml:space="preserve"> dan 30.06.2016</w:t>
      </w:r>
      <w:r>
        <w:t xml:space="preserve"> ter indeks  med realizacijo in v</w:t>
      </w:r>
      <w:r w:rsidR="006278F0">
        <w:t>eljavnim proračunom za leto 2016</w:t>
      </w:r>
      <w:r>
        <w:t>. Kot veljavni proračun je prikazan sprejeti proračun z prerazporeditvami na podlagi 5. člena sprejetega odloka o proračunu  ter sklepov župana. Prerazporedila so se sredstva iz  tekoče proračunske rezervacije na proračunske postavke, ki so realizirane v višjem znesku kot so bile predvidene ter  posamezne prerazporeditve v okviru podprogramov in med konti v posamezni proračunski postavki.</w:t>
      </w:r>
    </w:p>
    <w:p w:rsidR="009D0D53" w:rsidRDefault="009D0D53" w:rsidP="009D0D53">
      <w:pPr>
        <w:jc w:val="both"/>
      </w:pPr>
    </w:p>
    <w:p w:rsidR="00EB384E" w:rsidRDefault="00EB384E" w:rsidP="00EB384E">
      <w:pPr>
        <w:jc w:val="both"/>
      </w:pPr>
    </w:p>
    <w:p w:rsidR="00EB384E" w:rsidRPr="00C70BDF" w:rsidRDefault="00EB384E" w:rsidP="00EB384E">
      <w:pPr>
        <w:jc w:val="both"/>
        <w:rPr>
          <w:b/>
        </w:rPr>
      </w:pPr>
      <w:r w:rsidRPr="00C70BDF">
        <w:rPr>
          <w:b/>
        </w:rPr>
        <w:t>1. Poročilo o realizaciji prejemkov in izdatkov, presežku ali primanjkljaju, zadolževanju in oceno realizacije do konca leta</w:t>
      </w:r>
    </w:p>
    <w:p w:rsidR="00EB384E" w:rsidRDefault="00EB384E" w:rsidP="00EB384E">
      <w:pPr>
        <w:jc w:val="both"/>
      </w:pPr>
    </w:p>
    <w:p w:rsidR="00EB384E" w:rsidRDefault="00EB384E" w:rsidP="00EB384E">
      <w:pPr>
        <w:jc w:val="both"/>
      </w:pPr>
      <w:r w:rsidRPr="006E51FA">
        <w:rPr>
          <w:b/>
          <w:i/>
          <w:sz w:val="28"/>
          <w:szCs w:val="28"/>
          <w:u w:val="single"/>
        </w:rPr>
        <w:t>Skupni prihodki</w:t>
      </w:r>
      <w:r>
        <w:t xml:space="preserve"> so v tem obdobj</w:t>
      </w:r>
      <w:r w:rsidR="006B4FA9">
        <w:t>u doseženi v višini 1.093.823 EUR kar predstavlja 40,6</w:t>
      </w:r>
      <w:r>
        <w:t xml:space="preserve">% celotnih prihodkov, ki so </w:t>
      </w:r>
      <w:r w:rsidR="0054144D">
        <w:t xml:space="preserve">bili </w:t>
      </w:r>
      <w:r>
        <w:t xml:space="preserve">po sprejetem </w:t>
      </w:r>
      <w:r w:rsidR="0054144D">
        <w:t xml:space="preserve"> proračunu za leto 2016</w:t>
      </w:r>
      <w:r>
        <w:t>, ki ga je občinski sve</w:t>
      </w:r>
      <w:r w:rsidR="0054144D">
        <w:t xml:space="preserve">t sprejel v mesecu decembru 2015, </w:t>
      </w:r>
      <w:r>
        <w:t xml:space="preserve"> predvid</w:t>
      </w:r>
      <w:r w:rsidR="00757FA7">
        <w:t>eni v skupni višini 2.693.739</w:t>
      </w:r>
      <w:r>
        <w:t xml:space="preserve"> EUR.  Doseženi delež skupnih prihodko</w:t>
      </w:r>
      <w:r w:rsidR="001F33A2">
        <w:t>v  je skora</w:t>
      </w:r>
      <w:r w:rsidR="0054144D">
        <w:t>j enak kot v prvem obdobju leta 2015, ko je le-ta znašal 40,9</w:t>
      </w:r>
      <w:r w:rsidR="001F33A2">
        <w:t xml:space="preserve"> %. </w:t>
      </w:r>
      <w:r>
        <w:t xml:space="preserve"> </w:t>
      </w:r>
      <w:r>
        <w:lastRenderedPageBreak/>
        <w:t>Da</w:t>
      </w:r>
      <w:r w:rsidR="0054144D">
        <w:t>v</w:t>
      </w:r>
      <w:r w:rsidR="008C3291">
        <w:t>čni prihodki so do</w:t>
      </w:r>
      <w:r w:rsidR="00757FA7">
        <w:t>seženi v 50,2  %, nedavčni 100,4</w:t>
      </w:r>
      <w:r>
        <w:t xml:space="preserve"> %, </w:t>
      </w:r>
      <w:r w:rsidR="006B4FA9">
        <w:t>kapitalski prihodki  v 34,0</w:t>
      </w:r>
      <w:r w:rsidR="001F33A2">
        <w:t xml:space="preserve"> %</w:t>
      </w:r>
      <w:r w:rsidR="008C3291">
        <w:t>, ter transferni prihodki v 12,4</w:t>
      </w:r>
      <w:r>
        <w:t xml:space="preserve"> % pr</w:t>
      </w:r>
      <w:r w:rsidR="001F33A2">
        <w:t>edvidenih prihodkov za let</w:t>
      </w:r>
      <w:r w:rsidR="008C3291">
        <w:t>o 2016</w:t>
      </w:r>
      <w:r>
        <w:t xml:space="preserve">. </w:t>
      </w:r>
    </w:p>
    <w:p w:rsidR="00757FA7" w:rsidRDefault="00757FA7" w:rsidP="00EB384E">
      <w:pPr>
        <w:jc w:val="both"/>
      </w:pPr>
    </w:p>
    <w:p w:rsidR="00EB384E" w:rsidRDefault="00EB384E" w:rsidP="00EB384E">
      <w:pPr>
        <w:jc w:val="both"/>
      </w:pPr>
      <w:r w:rsidRPr="0097628E">
        <w:rPr>
          <w:b/>
        </w:rPr>
        <w:t>Da</w:t>
      </w:r>
      <w:r w:rsidR="008C3291" w:rsidRPr="0097628E">
        <w:rPr>
          <w:b/>
        </w:rPr>
        <w:t>včni prihodki</w:t>
      </w:r>
      <w:r w:rsidR="008C3291">
        <w:t xml:space="preserve"> so doseženi v 50,2</w:t>
      </w:r>
      <w:r>
        <w:t xml:space="preserve"> %. Med najpomembnejšimi je dohodnina, katera je z izračunano primerno porabo občine že določena in razdeljena na tedenske dotacije tako, da je priho</w:t>
      </w:r>
      <w:r w:rsidR="001F33A2">
        <w:t>de</w:t>
      </w:r>
      <w:r w:rsidR="008C3291">
        <w:t>k iz tega naslova dosežen v 50,0</w:t>
      </w:r>
      <w:r>
        <w:t xml:space="preserve"> %. </w:t>
      </w:r>
      <w:r w:rsidR="00757FA7">
        <w:t xml:space="preserve">Davki na premoženje so doseženi v 47,8 %, med katerimi največji delež predstavlja prihodek iz nadomestila za uporabo stavbnega zemljišča, ki pa v tem obdobju še ne predstavlja realizacije. Višji kot je bil predviden </w:t>
      </w:r>
      <w:r w:rsidR="0097628E">
        <w:t xml:space="preserve">za leto 2016, </w:t>
      </w:r>
      <w:r w:rsidR="00757FA7">
        <w:t xml:space="preserve">pa je </w:t>
      </w:r>
      <w:r w:rsidR="0097628E">
        <w:t xml:space="preserve"> </w:t>
      </w:r>
      <w:r w:rsidR="00757FA7">
        <w:t>prihodek od davka na dediščine in darila</w:t>
      </w:r>
      <w:r w:rsidR="0097628E">
        <w:t>. D</w:t>
      </w:r>
      <w:r w:rsidR="00757FA7">
        <w:t xml:space="preserve">omači davki na blago in storitve </w:t>
      </w:r>
      <w:r w:rsidR="0097628E">
        <w:t xml:space="preserve"> (takse, pristojbine) </w:t>
      </w:r>
      <w:r w:rsidR="00757FA7">
        <w:t xml:space="preserve">pa </w:t>
      </w:r>
      <w:r w:rsidR="0097628E">
        <w:t xml:space="preserve">so bili ob polletju realizirani v višini 33.604 kar predstavlja </w:t>
      </w:r>
      <w:r w:rsidR="00757FA7">
        <w:t xml:space="preserve">51,4 %. </w:t>
      </w:r>
    </w:p>
    <w:p w:rsidR="00F92E40" w:rsidRDefault="00F92E40" w:rsidP="00EB384E">
      <w:pPr>
        <w:jc w:val="both"/>
      </w:pPr>
    </w:p>
    <w:p w:rsidR="00E046CC" w:rsidRDefault="00F92E40" w:rsidP="00EB384E">
      <w:pPr>
        <w:jc w:val="both"/>
      </w:pPr>
      <w:r w:rsidRPr="006E51FA">
        <w:rPr>
          <w:b/>
        </w:rPr>
        <w:t>Nedavčni prihodki</w:t>
      </w:r>
      <w:r>
        <w:t xml:space="preserve"> so doseženi v 100,4 % predvidenih prihodkov. Višji kot so bili predvideni so zlasti prihodki iz naslova podeljenih koncesij, kjer je bila realizacija 170.843 EUR, od predvidenih 100.000 EUR. </w:t>
      </w:r>
      <w:r w:rsidR="00EB384E">
        <w:t xml:space="preserve"> Gre za koncesijsko dajatev na osnovi 10. a člena Zakona o Skladu kmetijskih zemljišč in gozdov RS (Uradni list RS, št. 8/2010), po katerem mora Sklad občinam, v katerih ležijo gozdovi, ki so v lasti Republike Slovenije in z njimi gospodari Sklad, prenesti 7 odstotkov od letne realizacije za posekan in prodan les po tržni vrednosti na kamionski cesti iz koncesijskih gozdov. Ta sredstva se v občinskem proračunu izkazujejo kot namenski prejemki in porabljajo kot namenski izd</w:t>
      </w:r>
      <w:r w:rsidR="00E046CC">
        <w:t xml:space="preserve">atki. Na osnovi 23. člena Zakona o ukrepih za odpravo posledic žleda med 30. januarjem in 10. februarjem </w:t>
      </w:r>
      <w:r w:rsidR="006E51FA">
        <w:t xml:space="preserve">2014, morajo občine sredstva nakazana v letih 2015 in 2016 nameniti za vzdrževanje gozdnih cest ali za varstvo gozdov, do dve tretjini nakazanih sredstev pa lahko namenijo za vzdrževanje občinskih javnih cest. </w:t>
      </w:r>
    </w:p>
    <w:p w:rsidR="006E51FA" w:rsidRDefault="006E51FA" w:rsidP="00EB384E">
      <w:pPr>
        <w:jc w:val="both"/>
      </w:pPr>
      <w:r>
        <w:t xml:space="preserve">Spodnja tabela prikazuje višino pridobljenih sredstev iz naslova omenjene koncesije po letih. </w:t>
      </w:r>
    </w:p>
    <w:p w:rsidR="006E51FA" w:rsidRDefault="006E51FA" w:rsidP="00EB384E">
      <w:pPr>
        <w:jc w:val="both"/>
      </w:pPr>
    </w:p>
    <w:tbl>
      <w:tblPr>
        <w:tblW w:w="5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473"/>
        <w:gridCol w:w="2118"/>
        <w:gridCol w:w="146"/>
        <w:gridCol w:w="146"/>
      </w:tblGrid>
      <w:tr w:rsidR="006E51FA" w:rsidRPr="006E51FA" w:rsidTr="006E51FA">
        <w:trPr>
          <w:trHeight w:val="290"/>
        </w:trPr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E51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Pregled prihodkov po letih  iz naslova  koncesijske dajatve SKZG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6E51FA" w:rsidRPr="006E51FA" w:rsidTr="006E51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51FA" w:rsidRPr="006E51FA" w:rsidTr="006E51FA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za leto 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višina sredstev 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nakazilo dne  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51FA" w:rsidRPr="006E51FA" w:rsidTr="006E51FA">
        <w:trPr>
          <w:trHeight w:val="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98.024,76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30.6.2011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51FA" w:rsidRPr="006E51FA" w:rsidTr="006E51FA">
        <w:trPr>
          <w:trHeight w:val="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90.909,87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29.6.2012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51FA" w:rsidRPr="006E51FA" w:rsidTr="006E51FA">
        <w:trPr>
          <w:trHeight w:val="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119.258,51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28.6.2013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51FA" w:rsidRPr="006E51FA" w:rsidTr="006E51FA">
        <w:trPr>
          <w:trHeight w:val="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127.029,41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10.4.2014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51FA" w:rsidRPr="006E51FA" w:rsidTr="006E51FA">
        <w:trPr>
          <w:trHeight w:val="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91.497,85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30.6.2015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51FA" w:rsidRPr="006E51FA" w:rsidTr="006E51FA">
        <w:trPr>
          <w:trHeight w:val="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170.843,36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1FA">
              <w:rPr>
                <w:rFonts w:ascii="Calibri" w:hAnsi="Calibri"/>
                <w:color w:val="000000"/>
                <w:sz w:val="20"/>
                <w:szCs w:val="20"/>
              </w:rPr>
              <w:t>30.6.2016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A" w:rsidRPr="006E51FA" w:rsidRDefault="006E51FA" w:rsidP="006E51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E51FA" w:rsidRDefault="006E51FA" w:rsidP="00EB384E">
      <w:pPr>
        <w:jc w:val="both"/>
      </w:pPr>
    </w:p>
    <w:p w:rsidR="00EB384E" w:rsidRDefault="00EB384E" w:rsidP="00EB384E">
      <w:pPr>
        <w:jc w:val="both"/>
      </w:pPr>
      <w:r w:rsidRPr="006E51FA">
        <w:rPr>
          <w:b/>
        </w:rPr>
        <w:t>Kapitalski prihodk</w:t>
      </w:r>
      <w:r w:rsidR="00C30855" w:rsidRPr="006E51FA">
        <w:rPr>
          <w:b/>
        </w:rPr>
        <w:t>i</w:t>
      </w:r>
      <w:r w:rsidR="006B4FA9">
        <w:t xml:space="preserve"> so realizirani v višini 12.221</w:t>
      </w:r>
      <w:r>
        <w:t xml:space="preserve"> EUR</w:t>
      </w:r>
      <w:r w:rsidR="006B4FA9">
        <w:t>, kar predstavlja 34,0</w:t>
      </w:r>
      <w:r w:rsidR="006E51FA">
        <w:t xml:space="preserve"> % od predvidenih prihodkov</w:t>
      </w:r>
      <w:r>
        <w:t xml:space="preserve"> in sicer s</w:t>
      </w:r>
      <w:r w:rsidR="00C30855">
        <w:t>o to prihodki od prodaje km</w:t>
      </w:r>
      <w:r w:rsidR="00DB7A59">
        <w:t>etijskih zemljišč v višini 2.950</w:t>
      </w:r>
      <w:r w:rsidR="00C30855">
        <w:t xml:space="preserve"> EUR</w:t>
      </w:r>
      <w:r w:rsidR="00781AE5">
        <w:t xml:space="preserve"> </w:t>
      </w:r>
      <w:r w:rsidR="00C30855">
        <w:t xml:space="preserve"> </w:t>
      </w:r>
      <w:r w:rsidR="006B4FA9">
        <w:t xml:space="preserve">(kupoprodajna pogodba Janez Turk Mali Log, prenos kupnine na AS Mali Log, minus stroški) </w:t>
      </w:r>
      <w:r w:rsidR="00C30855">
        <w:t>ter prihodki od prodaje s</w:t>
      </w:r>
      <w:r w:rsidR="006B4FA9">
        <w:t>tavbnih zemljišč v višini  9.271 EUR in sicer po:</w:t>
      </w:r>
    </w:p>
    <w:p w:rsidR="006B4FA9" w:rsidRDefault="006B4FA9" w:rsidP="006B4FA9">
      <w:pPr>
        <w:pStyle w:val="Odstavekseznama"/>
        <w:numPr>
          <w:ilvl w:val="0"/>
          <w:numId w:val="1"/>
        </w:numPr>
        <w:jc w:val="both"/>
      </w:pPr>
      <w:r>
        <w:t>kupoprodajna pogodba Aleksander Košmrlj v višini 3.642,00 EUR</w:t>
      </w:r>
    </w:p>
    <w:p w:rsidR="006B4FA9" w:rsidRDefault="006B4FA9" w:rsidP="006B4FA9">
      <w:pPr>
        <w:pStyle w:val="Odstavekseznama"/>
        <w:numPr>
          <w:ilvl w:val="0"/>
          <w:numId w:val="1"/>
        </w:numPr>
        <w:jc w:val="both"/>
      </w:pPr>
      <w:r>
        <w:t>kupoprodajna pogodba Vlado Mohar v višini 528,56 EUR</w:t>
      </w:r>
    </w:p>
    <w:p w:rsidR="006B4FA9" w:rsidRDefault="006B4FA9" w:rsidP="006B4FA9">
      <w:pPr>
        <w:pStyle w:val="Odstavekseznama"/>
        <w:numPr>
          <w:ilvl w:val="0"/>
          <w:numId w:val="1"/>
        </w:numPr>
        <w:jc w:val="both"/>
      </w:pPr>
      <w:r>
        <w:t>pogodba namesto razlastitve Jože Lavrič, Travnik 84 v višini 5.100 EUR (menjava zemljišč)</w:t>
      </w:r>
    </w:p>
    <w:p w:rsidR="00DB7A59" w:rsidRDefault="00DB7A59" w:rsidP="00EB384E">
      <w:pPr>
        <w:jc w:val="both"/>
      </w:pPr>
    </w:p>
    <w:p w:rsidR="00EB384E" w:rsidRDefault="00EB384E" w:rsidP="00EB384E">
      <w:pPr>
        <w:jc w:val="both"/>
      </w:pPr>
      <w:r w:rsidRPr="00DB7A59">
        <w:rPr>
          <w:b/>
        </w:rPr>
        <w:t>Transferni prihodki iz drugih javnofinančnih in</w:t>
      </w:r>
      <w:r w:rsidR="00C30855" w:rsidRPr="00DB7A59">
        <w:rPr>
          <w:b/>
        </w:rPr>
        <w:t>stitucij</w:t>
      </w:r>
      <w:r w:rsidR="00E278D2">
        <w:t xml:space="preserve"> so doseženi v višini 12,4</w:t>
      </w:r>
      <w:r>
        <w:t xml:space="preserve"> %  in sicer so transferni prihodki iz drugih </w:t>
      </w:r>
      <w:r w:rsidR="00C30855">
        <w:t>j</w:t>
      </w:r>
      <w:r w:rsidR="00E278D2">
        <w:t xml:space="preserve">avnih institucij doseženi v 20,5 %, medtem, ko </w:t>
      </w:r>
      <w:r>
        <w:t xml:space="preserve">  prejeta sredstva iz državnega proračuna iz sredstev proračuna Evro</w:t>
      </w:r>
      <w:r w:rsidR="00E278D2">
        <w:t xml:space="preserve">pske unije niso realizirana in v letošnjem letu tudi ne </w:t>
      </w:r>
      <w:r w:rsidR="00C850FA">
        <w:t xml:space="preserve">bodo, saj v letošnjem letu ni bilo </w:t>
      </w:r>
      <w:r w:rsidR="00E278D2">
        <w:t xml:space="preserve"> ustreznega razpisa na katerem bi lahko pridobili sredstva za predvideno investicijo Izgradnja kanalizacijskega sistema in MKČN Travnik. </w:t>
      </w:r>
    </w:p>
    <w:p w:rsidR="00EB384E" w:rsidRDefault="00EB384E" w:rsidP="00EB384E">
      <w:pPr>
        <w:jc w:val="both"/>
      </w:pPr>
    </w:p>
    <w:p w:rsidR="00EB384E" w:rsidRDefault="00EB384E" w:rsidP="00EB384E">
      <w:pPr>
        <w:jc w:val="both"/>
      </w:pPr>
      <w:r>
        <w:t>Prikaz doseženih prih</w:t>
      </w:r>
      <w:r w:rsidR="00E278D2">
        <w:t>odkov v prvem polletju leta 2016</w:t>
      </w:r>
      <w:r>
        <w:t xml:space="preserve"> po ekonomski klasifikaciji:</w:t>
      </w:r>
    </w:p>
    <w:p w:rsidR="00EB384E" w:rsidRDefault="00EB384E" w:rsidP="00EB384E">
      <w:pPr>
        <w:jc w:val="both"/>
      </w:pPr>
    </w:p>
    <w:tbl>
      <w:tblPr>
        <w:tblW w:w="7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294"/>
        <w:gridCol w:w="2824"/>
        <w:gridCol w:w="1102"/>
        <w:gridCol w:w="881"/>
      </w:tblGrid>
      <w:tr w:rsidR="0020798A" w:rsidRPr="0020798A" w:rsidTr="00E278D2">
        <w:trPr>
          <w:trHeight w:val="264"/>
        </w:trPr>
        <w:tc>
          <w:tcPr>
            <w:tcW w:w="5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2420"/>
              <w:gridCol w:w="185"/>
              <w:gridCol w:w="1636"/>
              <w:gridCol w:w="1127"/>
              <w:gridCol w:w="904"/>
            </w:tblGrid>
            <w:tr w:rsidR="002454BE" w:rsidRPr="002454BE" w:rsidTr="002454BE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PRIHODKI PO POLLETNEM POROČILU ZA LETO 2016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454BE" w:rsidRPr="002454BE" w:rsidTr="002454BE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454BE" w:rsidRPr="002454BE" w:rsidTr="002454BE">
              <w:trPr>
                <w:trHeight w:val="27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454BE" w:rsidRPr="002454BE" w:rsidTr="002454BE">
              <w:trPr>
                <w:trHeight w:val="250"/>
              </w:trPr>
              <w:tc>
                <w:tcPr>
                  <w:tcW w:w="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Konto</w:t>
                  </w:r>
                </w:p>
              </w:tc>
              <w:tc>
                <w:tcPr>
                  <w:tcW w:w="300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 xml:space="preserve">Vsebina </w:t>
                  </w:r>
                </w:p>
              </w:tc>
              <w:tc>
                <w:tcPr>
                  <w:tcW w:w="13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Sprejeti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 xml:space="preserve">Realizacija 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Indeks</w:t>
                  </w:r>
                </w:p>
              </w:tc>
            </w:tr>
            <w:tr w:rsidR="002454BE" w:rsidRPr="002454BE" w:rsidTr="002454BE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proračun 2016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30.6.2016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454BE" w:rsidRPr="002454BE" w:rsidTr="002454BE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 xml:space="preserve">PRIHODKI SKUPAJ </w:t>
                  </w: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2.693.739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1.093.823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40,6</w:t>
                  </w:r>
                </w:p>
              </w:tc>
            </w:tr>
            <w:tr w:rsidR="002454BE" w:rsidRPr="002454BE" w:rsidTr="002454BE">
              <w:trPr>
                <w:trHeight w:val="250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 xml:space="preserve">Davčni prihodki </w:t>
                  </w: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1.398.220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701.486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50,2</w:t>
                  </w:r>
                </w:p>
              </w:tc>
            </w:tr>
            <w:tr w:rsidR="002454BE" w:rsidRPr="002454BE" w:rsidTr="002454BE">
              <w:trPr>
                <w:trHeight w:val="250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 xml:space="preserve">Nedavčni prihodki </w:t>
                  </w: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254.870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255.950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100,4</w:t>
                  </w:r>
                </w:p>
              </w:tc>
            </w:tr>
            <w:tr w:rsidR="002454BE" w:rsidRPr="002454BE" w:rsidTr="002454BE">
              <w:trPr>
                <w:trHeight w:val="250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 xml:space="preserve">Kapitalski prihodki </w:t>
                  </w: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36.000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12.221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33,9</w:t>
                  </w:r>
                </w:p>
              </w:tc>
            </w:tr>
            <w:tr w:rsidR="002454BE" w:rsidRPr="002454BE" w:rsidTr="002454BE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center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 xml:space="preserve">Transferni prihodki </w:t>
                  </w: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1.004.649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124.166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54BE" w:rsidRPr="002454BE" w:rsidRDefault="002454BE" w:rsidP="002454BE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2454BE">
                    <w:rPr>
                      <w:rFonts w:ascii="Arial CE" w:hAnsi="Arial CE" w:cs="Arial CE"/>
                      <w:sz w:val="20"/>
                      <w:szCs w:val="20"/>
                    </w:rPr>
                    <w:t>12,4</w:t>
                  </w:r>
                </w:p>
              </w:tc>
            </w:tr>
          </w:tbl>
          <w:p w:rsidR="0020798A" w:rsidRPr="0020798A" w:rsidRDefault="0020798A" w:rsidP="0079153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8A" w:rsidRPr="0020798A" w:rsidRDefault="0020798A" w:rsidP="0079153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8A" w:rsidRPr="0020798A" w:rsidRDefault="0020798A" w:rsidP="0020798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0798A" w:rsidRPr="0020798A" w:rsidTr="00E278D2">
        <w:trPr>
          <w:trHeight w:val="26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8A" w:rsidRPr="0020798A" w:rsidRDefault="0020798A" w:rsidP="0020798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8A" w:rsidRPr="0020798A" w:rsidRDefault="0020798A" w:rsidP="0020798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8A" w:rsidRPr="0020798A" w:rsidRDefault="0020798A" w:rsidP="0020798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98A" w:rsidRPr="0020798A" w:rsidRDefault="0020798A" w:rsidP="0020798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8A" w:rsidRPr="0020798A" w:rsidRDefault="0020798A" w:rsidP="0020798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</w:tbl>
    <w:p w:rsidR="00EB384E" w:rsidRDefault="00EB384E" w:rsidP="00EB384E">
      <w:pPr>
        <w:jc w:val="both"/>
      </w:pPr>
    </w:p>
    <w:p w:rsidR="00EB384E" w:rsidRDefault="00EB384E" w:rsidP="00EB384E">
      <w:pPr>
        <w:jc w:val="both"/>
      </w:pPr>
      <w:r>
        <w:rPr>
          <w:b/>
        </w:rPr>
        <w:t xml:space="preserve">Skupni odhodki </w:t>
      </w:r>
      <w:r>
        <w:t xml:space="preserve"> ob polletju leto</w:t>
      </w:r>
      <w:r w:rsidR="00F81DDA">
        <w:t>šnjega leta znašajo 721.182 EUR, kar predstavlja 23,6</w:t>
      </w:r>
      <w:r>
        <w:t xml:space="preserve"> </w:t>
      </w:r>
      <w:r w:rsidR="00F81DDA">
        <w:t>% celotnih odhodkov za leto 2016</w:t>
      </w:r>
      <w:r>
        <w:t xml:space="preserve">, ki so </w:t>
      </w:r>
      <w:r w:rsidR="0079153B">
        <w:t xml:space="preserve">bili </w:t>
      </w:r>
      <w:r>
        <w:t>predvid</w:t>
      </w:r>
      <w:r w:rsidR="0020798A">
        <w:t xml:space="preserve">eni v skupni </w:t>
      </w:r>
      <w:r w:rsidR="0093728C">
        <w:t>višini 3.050.588</w:t>
      </w:r>
      <w:r>
        <w:t xml:space="preserve"> EUR. Tekoči odhodki ob p</w:t>
      </w:r>
      <w:r w:rsidR="0093728C">
        <w:t>rvem polletju znašajo 279.966 EUR, kar predstavlja 46,2</w:t>
      </w:r>
      <w:r>
        <w:t xml:space="preserve"> %, tekoči transfe</w:t>
      </w:r>
      <w:r w:rsidR="0093728C">
        <w:t>ri 277.589 EUR, kar je 45,4</w:t>
      </w:r>
      <w:r>
        <w:t xml:space="preserve"> % predvidenih, </w:t>
      </w:r>
      <w:r w:rsidR="0093728C">
        <w:t>investicijski odhodki 163.627, kar predstavlja 9,5 %</w:t>
      </w:r>
      <w:r>
        <w:t xml:space="preserve"> delež ter investici</w:t>
      </w:r>
      <w:r w:rsidR="0079153B">
        <w:t>jski transferi v višini 9,518 EUR kar je 17,6</w:t>
      </w:r>
      <w:r w:rsidR="0093728C">
        <w:t xml:space="preserve"> %, investicijskih transferjev pa v tem obdobju še ni bilo danih. </w:t>
      </w:r>
    </w:p>
    <w:p w:rsidR="00EB384E" w:rsidRDefault="00EB384E" w:rsidP="00EB384E">
      <w:pPr>
        <w:jc w:val="both"/>
      </w:pPr>
    </w:p>
    <w:p w:rsidR="00EB384E" w:rsidRDefault="00EB384E" w:rsidP="00EB384E">
      <w:pPr>
        <w:jc w:val="both"/>
      </w:pPr>
      <w:r>
        <w:t>Prikaz doseženih odh</w:t>
      </w:r>
      <w:r w:rsidR="0093728C">
        <w:t>odkov v prvem polletju leta 2016</w:t>
      </w:r>
      <w:r>
        <w:t xml:space="preserve"> po ekonomski klasifikaciji: </w:t>
      </w:r>
    </w:p>
    <w:p w:rsidR="0093728C" w:rsidRDefault="0093728C" w:rsidP="00EB384E">
      <w:pPr>
        <w:jc w:val="both"/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981"/>
        <w:gridCol w:w="196"/>
        <w:gridCol w:w="2040"/>
        <w:gridCol w:w="1380"/>
        <w:gridCol w:w="1100"/>
      </w:tblGrid>
      <w:tr w:rsidR="0093728C" w:rsidRPr="0093728C" w:rsidTr="0093728C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b/>
                <w:bCs/>
                <w:sz w:val="20"/>
                <w:szCs w:val="20"/>
              </w:rPr>
              <w:t>ODHODKI PO POLLETNEM POROČILU ZA LETO 2016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3728C" w:rsidRPr="0093728C" w:rsidTr="0093728C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3728C" w:rsidRPr="0093728C" w:rsidTr="0093728C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3728C" w:rsidRPr="0093728C" w:rsidTr="0093728C">
        <w:trPr>
          <w:trHeight w:val="26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Vsebina </w:t>
            </w:r>
          </w:p>
        </w:tc>
        <w:tc>
          <w:tcPr>
            <w:tcW w:w="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93728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Veljavni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93728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Realizacija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93728C">
              <w:rPr>
                <w:rFonts w:ascii="Arial CE" w:hAnsi="Arial CE" w:cs="Arial CE"/>
                <w:b/>
                <w:bCs/>
                <w:sz w:val="18"/>
                <w:szCs w:val="18"/>
              </w:rPr>
              <w:t>Indeks</w:t>
            </w:r>
          </w:p>
        </w:tc>
      </w:tr>
      <w:tr w:rsidR="0093728C" w:rsidRPr="0093728C" w:rsidTr="0093728C">
        <w:trPr>
          <w:trHeight w:val="2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93728C">
              <w:rPr>
                <w:rFonts w:ascii="Arial CE" w:hAnsi="Arial CE" w:cs="Arial CE"/>
                <w:b/>
                <w:bCs/>
                <w:sz w:val="18"/>
                <w:szCs w:val="18"/>
              </w:rPr>
              <w:t>proračun 2016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93728C">
              <w:rPr>
                <w:rFonts w:ascii="Arial CE" w:hAnsi="Arial CE" w:cs="Arial CE"/>
                <w:b/>
                <w:bCs/>
                <w:sz w:val="18"/>
                <w:szCs w:val="18"/>
              </w:rPr>
              <w:t>30.6.2016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93728C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3728C" w:rsidRPr="0093728C" w:rsidTr="0093728C">
        <w:trPr>
          <w:trHeight w:val="2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ODHODKI SKUPAJ 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b/>
                <w:bCs/>
                <w:sz w:val="20"/>
                <w:szCs w:val="20"/>
              </w:rPr>
              <w:t>3.050.588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b/>
                <w:bCs/>
                <w:sz w:val="20"/>
                <w:szCs w:val="20"/>
              </w:rPr>
              <w:t>721.182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b/>
                <w:bCs/>
                <w:sz w:val="20"/>
                <w:szCs w:val="20"/>
              </w:rPr>
              <w:t>23,6</w:t>
            </w:r>
          </w:p>
        </w:tc>
      </w:tr>
      <w:tr w:rsidR="0093728C" w:rsidRPr="0093728C" w:rsidTr="0093728C">
        <w:trPr>
          <w:trHeight w:val="25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 xml:space="preserve">Tekoči odhodki 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605.587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279.966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46,2</w:t>
            </w:r>
          </w:p>
        </w:tc>
      </w:tr>
      <w:tr w:rsidR="0093728C" w:rsidRPr="0093728C" w:rsidTr="0093728C">
        <w:trPr>
          <w:trHeight w:val="25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 xml:space="preserve">Tekoči transferi 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611.633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277.589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45,4</w:t>
            </w:r>
          </w:p>
        </w:tc>
      </w:tr>
      <w:tr w:rsidR="0093728C" w:rsidRPr="0093728C" w:rsidTr="0093728C">
        <w:trPr>
          <w:trHeight w:val="25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 xml:space="preserve">Investicijski odhodki 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1.719.763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163.627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9,5</w:t>
            </w:r>
          </w:p>
        </w:tc>
      </w:tr>
      <w:tr w:rsidR="0093728C" w:rsidRPr="0093728C" w:rsidTr="0093728C">
        <w:trPr>
          <w:trHeight w:val="2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 xml:space="preserve">Investicijski transferi </w:t>
            </w: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113.605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28C" w:rsidRPr="0093728C" w:rsidRDefault="0093728C" w:rsidP="0093728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3728C">
              <w:rPr>
                <w:rFonts w:ascii="Arial CE" w:hAnsi="Arial CE" w:cs="Arial CE"/>
                <w:sz w:val="20"/>
                <w:szCs w:val="20"/>
              </w:rPr>
              <w:t>0,0</w:t>
            </w:r>
          </w:p>
        </w:tc>
      </w:tr>
    </w:tbl>
    <w:p w:rsidR="0079153B" w:rsidRDefault="0079153B" w:rsidP="00EB384E">
      <w:pPr>
        <w:jc w:val="both"/>
      </w:pPr>
    </w:p>
    <w:tbl>
      <w:tblPr>
        <w:tblW w:w="9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7266"/>
        <w:gridCol w:w="862"/>
        <w:gridCol w:w="703"/>
      </w:tblGrid>
      <w:tr w:rsidR="00EB384E" w:rsidTr="00ED0709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B384E" w:rsidRPr="00157500" w:rsidRDefault="00ED0709" w:rsidP="00EB384E">
      <w:pPr>
        <w:jc w:val="both"/>
      </w:pPr>
      <w:r>
        <w:t>Skupni doseženi prihodki</w:t>
      </w:r>
      <w:r w:rsidR="00EB384E">
        <w:t xml:space="preserve"> v tem obdo</w:t>
      </w:r>
      <w:r>
        <w:t>bju  presegajo dosežene odhodke</w:t>
      </w:r>
      <w:r w:rsidR="00EB384E">
        <w:t xml:space="preserve">, kar predstavlja  tekoči </w:t>
      </w:r>
      <w:r w:rsidR="00EB384E" w:rsidRPr="00157500">
        <w:t>prora</w:t>
      </w:r>
      <w:r>
        <w:t>č</w:t>
      </w:r>
      <w:r w:rsidR="0094104A">
        <w:t>unski presežek  v višini 399.881</w:t>
      </w:r>
      <w:r w:rsidR="00EB384E" w:rsidRPr="00157500">
        <w:t xml:space="preserve"> EUR.</w:t>
      </w:r>
    </w:p>
    <w:p w:rsidR="0094104A" w:rsidRDefault="0094104A" w:rsidP="00EB384E">
      <w:pPr>
        <w:jc w:val="both"/>
      </w:pPr>
    </w:p>
    <w:p w:rsidR="00EB384E" w:rsidRDefault="0094104A" w:rsidP="00EB384E">
      <w:pPr>
        <w:jc w:val="both"/>
      </w:pPr>
      <w:r>
        <w:t xml:space="preserve">Iz računa financiranja izhaja odplačilo dolga, katerega mesečni obrok znaša 6.250 EUR, kar v tem obdobju skupaj predstavlja  37.500 EUR. </w:t>
      </w:r>
      <w:r w:rsidR="00EB384E">
        <w:t xml:space="preserve"> </w:t>
      </w:r>
    </w:p>
    <w:p w:rsidR="0094104A" w:rsidRDefault="0094104A" w:rsidP="00EB384E">
      <w:pPr>
        <w:jc w:val="both"/>
      </w:pPr>
    </w:p>
    <w:p w:rsidR="00D22EF2" w:rsidRDefault="00EB384E" w:rsidP="00EB384E">
      <w:pPr>
        <w:jc w:val="both"/>
      </w:pPr>
      <w:r>
        <w:t>Sprememba stanja sr</w:t>
      </w:r>
      <w:r w:rsidR="0094104A">
        <w:t>edstev na računu znaša 335.141</w:t>
      </w:r>
      <w:r w:rsidR="002F484C">
        <w:t xml:space="preserve"> EUR,  kar skupaj z sredstvi, ki so ostala na računu na dan 31.12.20</w:t>
      </w:r>
      <w:r w:rsidR="0094104A">
        <w:t xml:space="preserve">15 v višini 496.568 EUR, znaša skupaj  831.709 </w:t>
      </w:r>
      <w:r w:rsidR="002F484C">
        <w:t xml:space="preserve">EUR.  </w:t>
      </w:r>
    </w:p>
    <w:p w:rsidR="00EB384E" w:rsidRDefault="00EB384E" w:rsidP="00EB384E">
      <w:pPr>
        <w:jc w:val="both"/>
      </w:pPr>
      <w:r>
        <w:t xml:space="preserve"> </w:t>
      </w:r>
    </w:p>
    <w:p w:rsidR="00EB384E" w:rsidRDefault="00EB384E" w:rsidP="00EB384E">
      <w:pPr>
        <w:jc w:val="both"/>
      </w:pPr>
      <w:r>
        <w:t>Ocena realizacije proračunskih prejemkov in izdatkov za</w:t>
      </w:r>
      <w:r w:rsidR="00D22EF2">
        <w:t xml:space="preserve"> letošnje leto je razv</w:t>
      </w:r>
      <w:r w:rsidR="009E74CB">
        <w:t>idna iz sprejetega, oziroma veljavnega proračuna za 2016.</w:t>
      </w:r>
    </w:p>
    <w:p w:rsidR="00D22EF2" w:rsidRDefault="009E74CB" w:rsidP="00EB384E">
      <w:pPr>
        <w:jc w:val="both"/>
      </w:pPr>
      <w:r>
        <w:t>Prihodki do konca letošnjega leta bodo nižji kot so bili predvideni po sprejetem proračunu. Ker ni  ustreznih razpisov</w:t>
      </w:r>
      <w:r w:rsidR="00D87D9D">
        <w:t xml:space="preserve"> kot kaže tudi v letošnjem letu ne bo  mogoče pridobiti evropskih sredstev, ki jih  imamo v sprejetem proračunu predvidene za investicijo Izgradnja </w:t>
      </w:r>
      <w:r w:rsidR="00D87D9D">
        <w:lastRenderedPageBreak/>
        <w:t xml:space="preserve">kanalizacijskega sistema in MKČN Travnik, za katero smo predvideli 400.000 EUR. Prav tako   ne bo predvidenih prejetih  sredstev za investicije, planiranih v višini 220.000 EUR, saj so bila planirana za investicijo v daljinsko ogrevanje, ki pa se predvidoma tudi ne bo izvajala v letošnjem letu. </w:t>
      </w:r>
    </w:p>
    <w:p w:rsidR="00D87D9D" w:rsidRDefault="00D87D9D" w:rsidP="00EB384E">
      <w:pPr>
        <w:jc w:val="both"/>
      </w:pPr>
      <w:r>
        <w:t>Višji kot so bili predvideni v sprejetem proračunu pa so že ob polletni realizaciji</w:t>
      </w:r>
      <w:r w:rsidR="00901B58">
        <w:t xml:space="preserve"> davčni prihodki in sicer prihodki iz naslova podeljenih koncesij. Le-ti so bili planirani na podlagi lanske realizacije, ki pa je bila precej nižja. V letošnjem letu pa je koncesija v višini 7 % od letne realizacije posekanega in prodanega lesa v koncesijskih gozdovih znašala kar 170.843,36 EUR.</w:t>
      </w:r>
    </w:p>
    <w:p w:rsidR="00901B58" w:rsidRDefault="00901B58" w:rsidP="00EB384E">
      <w:pPr>
        <w:jc w:val="both"/>
      </w:pPr>
      <w:r>
        <w:t>Zaradi nereali</w:t>
      </w:r>
      <w:r w:rsidR="000D30F5">
        <w:t xml:space="preserve">ziranih prihodkov, predvidenih za sofinanciranje posameznih investicij, bodo do konca leta nižji tudi odhodki. Kot je bilo že omenjeno se v letošnjem letu ne bosta izvajali </w:t>
      </w:r>
      <w:r w:rsidR="00723C78">
        <w:t>obe večji investiciji  in sicer:</w:t>
      </w:r>
    </w:p>
    <w:p w:rsidR="00723C78" w:rsidRDefault="00723C78" w:rsidP="00723C78">
      <w:pPr>
        <w:pStyle w:val="Odstavekseznama"/>
        <w:numPr>
          <w:ilvl w:val="0"/>
          <w:numId w:val="1"/>
        </w:numPr>
        <w:jc w:val="both"/>
      </w:pPr>
      <w:r>
        <w:t>proračunska postavka 12001 Investicija v DOLB in</w:t>
      </w:r>
    </w:p>
    <w:p w:rsidR="00723C78" w:rsidRDefault="00723C78" w:rsidP="00723C78">
      <w:pPr>
        <w:pStyle w:val="Odstavekseznama"/>
        <w:numPr>
          <w:ilvl w:val="0"/>
          <w:numId w:val="1"/>
        </w:numPr>
        <w:jc w:val="both"/>
      </w:pPr>
      <w:r>
        <w:t xml:space="preserve">proračunska postavka 15015 Kanalizacijski sistem .P. – ČN Travnik </w:t>
      </w:r>
    </w:p>
    <w:p w:rsidR="007B5D61" w:rsidRDefault="007B5D61" w:rsidP="007B5D61">
      <w:pPr>
        <w:jc w:val="both"/>
      </w:pPr>
      <w:r>
        <w:t xml:space="preserve">Ostale investicije na področju investicijskega vzdrževanja lokalnih cest in javnih poti, cestne razsvetljave, dela kanalizacije ter investicijskega vzdrževanja na vodovodu, so bile v poletnih mesecih že v izvajanju medtem, ko realizacije v tem obdobju še ni bilo. </w:t>
      </w:r>
    </w:p>
    <w:p w:rsidR="00D830D4" w:rsidRDefault="00D830D4" w:rsidP="007B5D61">
      <w:pPr>
        <w:jc w:val="both"/>
      </w:pPr>
      <w:r>
        <w:t xml:space="preserve">Z rebalansom za leto 2016 bodo v proračun vključene še nekatere nove manjše investicije. </w:t>
      </w:r>
    </w:p>
    <w:p w:rsidR="001E67E5" w:rsidRDefault="007B5D61" w:rsidP="00EB384E">
      <w:pPr>
        <w:jc w:val="both"/>
      </w:pPr>
      <w:r>
        <w:t>Ostali</w:t>
      </w:r>
      <w:r w:rsidR="001E67E5">
        <w:t xml:space="preserve"> odhodki naj bi bili re</w:t>
      </w:r>
      <w:r w:rsidR="00901B58">
        <w:t>alizirani po sprejetem  proračunu</w:t>
      </w:r>
      <w:r w:rsidR="001E67E5">
        <w:t xml:space="preserve">. </w:t>
      </w:r>
    </w:p>
    <w:p w:rsidR="00EB384E" w:rsidRDefault="00EB384E" w:rsidP="00EB384E">
      <w:pPr>
        <w:jc w:val="both"/>
      </w:pPr>
    </w:p>
    <w:p w:rsidR="00EB384E" w:rsidRDefault="00EB384E" w:rsidP="00EB384E">
      <w:pPr>
        <w:jc w:val="both"/>
      </w:pPr>
    </w:p>
    <w:p w:rsidR="00EB384E" w:rsidRDefault="00EB384E" w:rsidP="00EB384E">
      <w:pPr>
        <w:jc w:val="both"/>
        <w:rPr>
          <w:b/>
        </w:rPr>
      </w:pPr>
      <w:r w:rsidRPr="00C637A7">
        <w:rPr>
          <w:b/>
        </w:rPr>
        <w:t>2. Podatki o vključitvi novih obveznosti v proračun, prenosu namenskih sredstev iz proračuna preteklega leta, plačilu neporavnanih obveznosti iz preteklih let, prerazpore</w:t>
      </w:r>
      <w:r>
        <w:rPr>
          <w:b/>
        </w:rPr>
        <w:t xml:space="preserve">janju proračunskih sredstev. </w:t>
      </w:r>
    </w:p>
    <w:p w:rsidR="00EB384E" w:rsidRDefault="00EB384E" w:rsidP="00EB384E">
      <w:pPr>
        <w:jc w:val="both"/>
        <w:rPr>
          <w:b/>
        </w:rPr>
      </w:pPr>
    </w:p>
    <w:p w:rsidR="00EB384E" w:rsidRDefault="007B5D61" w:rsidP="00EB384E">
      <w:pPr>
        <w:jc w:val="both"/>
      </w:pPr>
      <w:r>
        <w:t xml:space="preserve">Novih obveznosti, ki bi bile vključene v proračun 2016 v tem obdobju ni bilo. </w:t>
      </w:r>
      <w:r w:rsidR="00EB384E">
        <w:t xml:space="preserve"> </w:t>
      </w:r>
    </w:p>
    <w:p w:rsidR="00EB384E" w:rsidRPr="00374C55" w:rsidRDefault="00EB384E" w:rsidP="00EB384E">
      <w:pPr>
        <w:jc w:val="both"/>
      </w:pPr>
    </w:p>
    <w:p w:rsidR="00EB384E" w:rsidRDefault="00EB384E" w:rsidP="00EB384E">
      <w:pPr>
        <w:jc w:val="both"/>
      </w:pPr>
      <w:r>
        <w:t>Kot namenska sredstva iz proračuna 201</w:t>
      </w:r>
      <w:r w:rsidR="007B5D61">
        <w:t>5</w:t>
      </w:r>
      <w:r w:rsidR="001E67E5">
        <w:t xml:space="preserve"> so</w:t>
      </w:r>
      <w:r w:rsidR="007B5D61">
        <w:t xml:space="preserve"> se v proračun 2016</w:t>
      </w:r>
      <w:r>
        <w:t xml:space="preserve"> prenesla n</w:t>
      </w:r>
      <w:r w:rsidR="00290A56">
        <w:t>aslednja neporabljena sr</w:t>
      </w:r>
      <w:r w:rsidR="0060205E">
        <w:t>edstva v skupni višini 52.861,03</w:t>
      </w:r>
      <w:r w:rsidR="00290A56">
        <w:t xml:space="preserve"> EUR in sicer: </w:t>
      </w:r>
    </w:p>
    <w:p w:rsidR="00EB384E" w:rsidRDefault="00EB384E" w:rsidP="00EB384E">
      <w:pPr>
        <w:jc w:val="both"/>
      </w:pPr>
      <w:r>
        <w:t xml:space="preserve">- </w:t>
      </w:r>
      <w:r w:rsidR="00290A56">
        <w:t xml:space="preserve"> </w:t>
      </w:r>
      <w:r>
        <w:t xml:space="preserve">sredstva  okoljske dajatve za onesnaževanje okolja zaradi odvajanja </w:t>
      </w:r>
      <w:r w:rsidR="0060205E">
        <w:t>odpadnih voda v višini 2.079,54</w:t>
      </w:r>
      <w:r>
        <w:t xml:space="preserve"> EUR,</w:t>
      </w:r>
    </w:p>
    <w:p w:rsidR="001E67E5" w:rsidRDefault="0060205E" w:rsidP="00EB384E">
      <w:pPr>
        <w:jc w:val="both"/>
      </w:pPr>
      <w:r>
        <w:t>-  sredstva od najemnine DSO v višini 13.319,97</w:t>
      </w:r>
    </w:p>
    <w:p w:rsidR="00EB384E" w:rsidRDefault="00EB384E" w:rsidP="00EB384E">
      <w:pPr>
        <w:jc w:val="both"/>
      </w:pPr>
      <w:r>
        <w:t>-  sredstva podeljenih konc</w:t>
      </w:r>
      <w:r w:rsidR="0060205E">
        <w:t>esij – lovstvo v višini</w:t>
      </w:r>
      <w:r w:rsidR="00A24981">
        <w:t xml:space="preserve"> </w:t>
      </w:r>
      <w:r w:rsidR="0060205E">
        <w:t xml:space="preserve"> 3.379,25</w:t>
      </w:r>
      <w:r>
        <w:t xml:space="preserve"> EUR, </w:t>
      </w:r>
    </w:p>
    <w:p w:rsidR="00A24981" w:rsidRDefault="00A24981" w:rsidP="00EB384E">
      <w:pPr>
        <w:jc w:val="both"/>
      </w:pPr>
      <w:r>
        <w:t xml:space="preserve">-  sredstva podeljenih koncesij – SKZG v višini 15.209,83 EUR, </w:t>
      </w:r>
    </w:p>
    <w:p w:rsidR="001E67E5" w:rsidRDefault="00290A56" w:rsidP="00EB384E">
      <w:pPr>
        <w:jc w:val="both"/>
      </w:pPr>
      <w:r>
        <w:t>-  kapitalski prihodki za n</w:t>
      </w:r>
      <w:r w:rsidR="00A24981">
        <w:t>akup zemljišč v višini 18.872,44</w:t>
      </w:r>
      <w:r>
        <w:t xml:space="preserve"> EUR, </w:t>
      </w:r>
    </w:p>
    <w:p w:rsidR="00A24981" w:rsidRDefault="00EB384E" w:rsidP="00EB384E">
      <w:pPr>
        <w:jc w:val="both"/>
      </w:pPr>
      <w:r>
        <w:t>-  prejeta sredstva za investici</w:t>
      </w:r>
      <w:r w:rsidR="001E67E5">
        <w:t>je – požarna taksa</w:t>
      </w:r>
      <w:r w:rsidR="00A24981">
        <w:t xml:space="preserve">  </w:t>
      </w:r>
      <w:r w:rsidR="001E67E5">
        <w:t xml:space="preserve"> 2.393,44</w:t>
      </w:r>
      <w:r w:rsidR="00A24981">
        <w:t xml:space="preserve"> EUR. </w:t>
      </w:r>
    </w:p>
    <w:p w:rsidR="00A24981" w:rsidRDefault="00A24981" w:rsidP="00EB384E">
      <w:pPr>
        <w:jc w:val="both"/>
      </w:pPr>
      <w:r>
        <w:t xml:space="preserve"> </w:t>
      </w:r>
    </w:p>
    <w:p w:rsidR="00EB384E" w:rsidRDefault="00A24981" w:rsidP="00EB384E">
      <w:pPr>
        <w:jc w:val="both"/>
      </w:pPr>
      <w:r>
        <w:t xml:space="preserve">Stanje ostalih namenskih sredstev na dan 31.12.2015 pa je 77.176,68 EUR in sicer: </w:t>
      </w:r>
      <w:r w:rsidR="00EB384E">
        <w:t xml:space="preserve"> </w:t>
      </w:r>
    </w:p>
    <w:p w:rsidR="00A24981" w:rsidRDefault="00EB384E" w:rsidP="00EB384E">
      <w:pPr>
        <w:jc w:val="both"/>
      </w:pPr>
      <w:r>
        <w:t>-  proraču</w:t>
      </w:r>
      <w:r w:rsidR="00A24981">
        <w:t>nska rezerva v višini 19.876,68</w:t>
      </w:r>
      <w:r>
        <w:t xml:space="preserve"> EUR, ki je namenjena za odpravo posledic narav</w:t>
      </w:r>
      <w:r w:rsidR="00A24981">
        <w:t xml:space="preserve">nih in drugih  nesreč v občini, </w:t>
      </w:r>
    </w:p>
    <w:p w:rsidR="00EB384E" w:rsidRDefault="00A24981" w:rsidP="00EB384E">
      <w:pPr>
        <w:jc w:val="both"/>
      </w:pPr>
      <w:r>
        <w:t xml:space="preserve">- sredstva od </w:t>
      </w:r>
      <w:proofErr w:type="spellStart"/>
      <w:r>
        <w:t>vnovčenja</w:t>
      </w:r>
      <w:proofErr w:type="spellEnd"/>
      <w:r>
        <w:t xml:space="preserve"> bančne garancije (Primorje d.d.) v višini</w:t>
      </w:r>
      <w:r w:rsidR="00290A56">
        <w:t xml:space="preserve"> </w:t>
      </w:r>
      <w:r>
        <w:t xml:space="preserve">57.300,00 EUR. </w:t>
      </w:r>
    </w:p>
    <w:p w:rsidR="00A24981" w:rsidRDefault="00A24981" w:rsidP="00EB384E">
      <w:pPr>
        <w:jc w:val="both"/>
      </w:pPr>
    </w:p>
    <w:p w:rsidR="00A24981" w:rsidRDefault="00A24981" w:rsidP="00EB384E">
      <w:pPr>
        <w:jc w:val="both"/>
      </w:pPr>
      <w:r>
        <w:t xml:space="preserve">Skupna namenska sredstva za prenos v leto 2016 so ob koncu leta 2015 znašala 130.037,71 EUR. </w:t>
      </w:r>
    </w:p>
    <w:p w:rsidR="00EB384E" w:rsidRDefault="00EB384E" w:rsidP="00EB384E">
      <w:pPr>
        <w:jc w:val="both"/>
      </w:pPr>
    </w:p>
    <w:p w:rsidR="00EB384E" w:rsidRDefault="00EB384E" w:rsidP="00EB384E">
      <w:pPr>
        <w:jc w:val="both"/>
      </w:pPr>
      <w:r>
        <w:t>Plačila neporavnanih obveznosti  iz preteklega leta</w:t>
      </w:r>
      <w:r w:rsidR="00CE3F5D">
        <w:t xml:space="preserve">, </w:t>
      </w:r>
      <w:r>
        <w:t xml:space="preserve"> predstavljajo v letu 201</w:t>
      </w:r>
      <w:r w:rsidR="00A24981">
        <w:t>5</w:t>
      </w:r>
      <w:r>
        <w:t xml:space="preserve"> opravljene storitve, ki so bil</w:t>
      </w:r>
      <w:r w:rsidR="00A24981">
        <w:t>e v celoti poravnane v letu 2016. Te obveznosti iz leta 2015</w:t>
      </w:r>
      <w:r>
        <w:t xml:space="preserve"> so bile: </w:t>
      </w:r>
    </w:p>
    <w:p w:rsidR="00EB384E" w:rsidRDefault="00EB384E" w:rsidP="00EB384E">
      <w:pPr>
        <w:jc w:val="both"/>
      </w:pPr>
    </w:p>
    <w:p w:rsidR="00EB384E" w:rsidRPr="00CA5633" w:rsidRDefault="00EB384E" w:rsidP="00EB384E">
      <w:pPr>
        <w:jc w:val="both"/>
      </w:pPr>
      <w:r w:rsidRPr="00CA5633">
        <w:rPr>
          <w:b/>
        </w:rPr>
        <w:t xml:space="preserve">Kratkoročne obveznosti do zaposlenih </w:t>
      </w:r>
      <w:r>
        <w:rPr>
          <w:b/>
        </w:rPr>
        <w:t xml:space="preserve">so </w:t>
      </w:r>
      <w:r w:rsidRPr="00CA5633">
        <w:t xml:space="preserve">na dan </w:t>
      </w:r>
      <w:r w:rsidR="00087309">
        <w:t xml:space="preserve"> 31.12.2015 znašale 19.985,21</w:t>
      </w:r>
      <w:r>
        <w:t xml:space="preserve"> in so predstavl</w:t>
      </w:r>
      <w:r w:rsidR="00300BCD">
        <w:t>j</w:t>
      </w:r>
      <w:r w:rsidR="00087309">
        <w:t>ale plače za mesec december 2015</w:t>
      </w:r>
      <w:r>
        <w:t>, ki s</w:t>
      </w:r>
      <w:r w:rsidR="00087309">
        <w:t>o bile izplačane v januarju 2016</w:t>
      </w:r>
      <w:r>
        <w:t xml:space="preserve">. </w:t>
      </w:r>
    </w:p>
    <w:p w:rsidR="00EB384E" w:rsidRDefault="00EB384E" w:rsidP="00EB384E"/>
    <w:p w:rsidR="00087309" w:rsidRDefault="00EB384E" w:rsidP="00EB384E">
      <w:pPr>
        <w:jc w:val="both"/>
      </w:pPr>
      <w:r w:rsidRPr="000A61CB">
        <w:rPr>
          <w:b/>
        </w:rPr>
        <w:t xml:space="preserve">Obveznosti do dobaviteljev </w:t>
      </w:r>
      <w:r w:rsidR="00087309">
        <w:t>na dan 31.12.2015 so znašale skupaj  71.318,41</w:t>
      </w:r>
      <w:r w:rsidR="00300BCD">
        <w:t xml:space="preserve">  EUR </w:t>
      </w:r>
      <w:r w:rsidR="00087309">
        <w:t>in so  predstavljale v letu 2015</w:t>
      </w:r>
      <w:r>
        <w:t xml:space="preserve"> opravljene storitve i</w:t>
      </w:r>
      <w:r w:rsidR="00300BCD">
        <w:t>n dobavo trgovskega blaga, ki p</w:t>
      </w:r>
      <w:r w:rsidR="00087309">
        <w:t>a zapadejo v plačilo v letu 2016</w:t>
      </w:r>
      <w:r w:rsidR="00300BCD">
        <w:t xml:space="preserve">. </w:t>
      </w:r>
      <w:r w:rsidR="00087309">
        <w:t>Večjih obveznosti, ki bi izhajale iz odprtih investicij iz leta 2015 ni, o</w:t>
      </w:r>
      <w:r>
        <w:t>stale obveznosti do dobaviteljev so bile tekoče obveznosti in so predstavljale obveznost za prejete  račune za mesec novem</w:t>
      </w:r>
      <w:r w:rsidR="00087309">
        <w:t>ber in december 2015</w:t>
      </w:r>
      <w:r>
        <w:t xml:space="preserve">, </w:t>
      </w:r>
      <w:r w:rsidR="00087309">
        <w:t>ki so bole poravnane v letu 2016</w:t>
      </w:r>
      <w:r>
        <w:t xml:space="preserve"> in sicer  glede na zakonski plačilni rok  30 dni od prejema računa.</w:t>
      </w:r>
    </w:p>
    <w:p w:rsidR="00087309" w:rsidRDefault="00087309" w:rsidP="00EB384E">
      <w:pPr>
        <w:jc w:val="both"/>
      </w:pPr>
    </w:p>
    <w:p w:rsidR="00EB384E" w:rsidRDefault="00087309" w:rsidP="00EB384E">
      <w:pPr>
        <w:jc w:val="both"/>
      </w:pPr>
      <w:r w:rsidRPr="00D830D4">
        <w:rPr>
          <w:b/>
        </w:rPr>
        <w:t>Druge kratkoročne obveznosti iz poslovanja</w:t>
      </w:r>
      <w:r>
        <w:t xml:space="preserve"> v višini 2.064,82 EUR, kar predstavlja obveznost za plačilo DDV </w:t>
      </w:r>
      <w:r w:rsidR="00D830D4">
        <w:t xml:space="preserve">in druge kratkoročne obveznosti iz poslovanja. </w:t>
      </w:r>
      <w:r w:rsidR="00EB384E">
        <w:t xml:space="preserve"> </w:t>
      </w:r>
    </w:p>
    <w:p w:rsidR="00EB384E" w:rsidRDefault="00EB384E" w:rsidP="00EB384E">
      <w:pPr>
        <w:jc w:val="both"/>
      </w:pPr>
    </w:p>
    <w:p w:rsidR="00EB384E" w:rsidRDefault="00EB384E" w:rsidP="00EB384E">
      <w:pPr>
        <w:jc w:val="both"/>
      </w:pPr>
      <w:r w:rsidRPr="00BA31A3">
        <w:rPr>
          <w:b/>
        </w:rPr>
        <w:t>Kratkoročne obveznosti do uporabnikov enotnega kontnega načrta</w:t>
      </w:r>
      <w:r w:rsidR="00D830D4">
        <w:t xml:space="preserve"> v višini 61.193,18</w:t>
      </w:r>
      <w:r>
        <w:t xml:space="preserve"> EUR in sicer so bile to:</w:t>
      </w:r>
    </w:p>
    <w:p w:rsidR="00EB384E" w:rsidRDefault="00EB384E" w:rsidP="00EB384E">
      <w:pPr>
        <w:jc w:val="both"/>
      </w:pPr>
      <w:r w:rsidRPr="008939BB">
        <w:rPr>
          <w:b/>
          <w:i/>
        </w:rPr>
        <w:t>1. Kratkoročne obveznosti do posrednih uporabnikov proračuna občine</w:t>
      </w:r>
      <w:r w:rsidR="00D830D4">
        <w:t xml:space="preserve"> v višini 41.002,31</w:t>
      </w:r>
      <w:r w:rsidR="00300BCD">
        <w:t xml:space="preserve"> </w:t>
      </w:r>
      <w:r>
        <w:t xml:space="preserve">EUR in sicer so bile  to:  </w:t>
      </w:r>
    </w:p>
    <w:p w:rsidR="00EB384E" w:rsidRDefault="00EB384E" w:rsidP="00EB384E">
      <w:pPr>
        <w:ind w:left="708"/>
        <w:jc w:val="both"/>
      </w:pPr>
      <w:r>
        <w:t xml:space="preserve">- obveznost do OŠ Loški Potok za VVE po obračunu za </w:t>
      </w:r>
      <w:r w:rsidR="00300BCD">
        <w:t xml:space="preserve">mesec  november in </w:t>
      </w:r>
      <w:r w:rsidR="00D830D4">
        <w:t>december 2015</w:t>
      </w:r>
      <w:r>
        <w:t xml:space="preserve">  in obveznost za fakultativni pouk in materialne stroške za osnovnošolsko dejavnost po </w:t>
      </w:r>
      <w:r w:rsidR="00D830D4">
        <w:t>obračunu za mesec  december 2015  v skupni višini 39.881,18</w:t>
      </w:r>
      <w:r>
        <w:t xml:space="preserve"> EUR,  </w:t>
      </w:r>
    </w:p>
    <w:p w:rsidR="00EB384E" w:rsidRDefault="00EB384E" w:rsidP="00EB384E">
      <w:pPr>
        <w:ind w:left="708"/>
        <w:jc w:val="both"/>
      </w:pPr>
      <w:r>
        <w:t xml:space="preserve">- obveznost do ZD </w:t>
      </w:r>
      <w:r w:rsidR="00D830D4">
        <w:t xml:space="preserve"> Ribnica v skupni višini 1.121,13</w:t>
      </w:r>
      <w:r>
        <w:t xml:space="preserve"> EUR.</w:t>
      </w:r>
    </w:p>
    <w:p w:rsidR="00EB384E" w:rsidRDefault="00EB384E" w:rsidP="00EB384E">
      <w:pPr>
        <w:ind w:left="708"/>
        <w:jc w:val="both"/>
      </w:pPr>
    </w:p>
    <w:p w:rsidR="00EB384E" w:rsidRDefault="00EB384E" w:rsidP="00EB384E">
      <w:pPr>
        <w:jc w:val="both"/>
      </w:pPr>
      <w:r w:rsidRPr="008939BB">
        <w:rPr>
          <w:b/>
          <w:i/>
        </w:rPr>
        <w:t>2. Kratkoročne obveznosti do drugih uporabnikov enotnega kontnega načrta</w:t>
      </w:r>
      <w:r w:rsidR="00D830D4">
        <w:t xml:space="preserve">  v višini 20.190,87</w:t>
      </w:r>
      <w:r>
        <w:t xml:space="preserve"> EUR. Sem spadajo obveznosti do uporabnikov državnega proračuna in posrednih uporabnikov  drugih občinskih proračunov kot so domovi za starejše občane, vrtci, osnovne šole, ministrstva).</w:t>
      </w:r>
    </w:p>
    <w:p w:rsidR="00EB384E" w:rsidRDefault="00EB384E" w:rsidP="00EB384E">
      <w:pPr>
        <w:jc w:val="both"/>
      </w:pPr>
    </w:p>
    <w:p w:rsidR="00EB384E" w:rsidRDefault="00EB384E" w:rsidP="00EB384E">
      <w:pPr>
        <w:jc w:val="both"/>
      </w:pPr>
    </w:p>
    <w:p w:rsidR="00EB384E" w:rsidRDefault="00EB384E" w:rsidP="00EB384E">
      <w:pPr>
        <w:jc w:val="both"/>
      </w:pPr>
      <w:r>
        <w:t xml:space="preserve">Prerazporeditve proračunskih sredstev po </w:t>
      </w:r>
      <w:r w:rsidR="00A539B8">
        <w:t>spremenjenem s</w:t>
      </w:r>
      <w:r w:rsidR="00D830D4">
        <w:t>prejetem  proračunu za leto 2016</w:t>
      </w:r>
      <w:r>
        <w:t xml:space="preserve"> so bile naslednje: </w:t>
      </w:r>
    </w:p>
    <w:p w:rsidR="00A6450D" w:rsidRDefault="00A6450D" w:rsidP="00EB384E">
      <w:pPr>
        <w:jc w:val="both"/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465"/>
        <w:gridCol w:w="1465"/>
        <w:gridCol w:w="1465"/>
        <w:gridCol w:w="1440"/>
        <w:gridCol w:w="1440"/>
      </w:tblGrid>
      <w:tr w:rsidR="00A6450D" w:rsidRPr="00A6450D" w:rsidTr="00A6450D">
        <w:trPr>
          <w:trHeight w:val="31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</w:rPr>
            </w:pPr>
            <w:r w:rsidRPr="00A6450D">
              <w:rPr>
                <w:rFonts w:ascii="Calibri" w:hAnsi="Calibri"/>
                <w:b/>
                <w:bCs/>
                <w:color w:val="000000"/>
              </w:rPr>
              <w:t>PRERAZPOREDITVE PO  SPREJETEM PRORAČUNU  ZA LETO 2016-</w:t>
            </w:r>
            <w:proofErr w:type="spellStart"/>
            <w:r w:rsidRPr="00A6450D">
              <w:rPr>
                <w:rFonts w:ascii="Calibri" w:hAnsi="Calibri"/>
                <w:b/>
                <w:bCs/>
                <w:color w:val="000000"/>
              </w:rPr>
              <w:t>1.polletje</w:t>
            </w:r>
            <w:proofErr w:type="spellEnd"/>
            <w:r w:rsidRPr="00A6450D">
              <w:rPr>
                <w:rFonts w:ascii="Calibri" w:hAnsi="Calibri"/>
                <w:b/>
                <w:bCs/>
                <w:color w:val="000000"/>
              </w:rPr>
              <w:t xml:space="preserve"> 2016</w:t>
            </w:r>
          </w:p>
        </w:tc>
      </w:tr>
      <w:tr w:rsidR="00A6450D" w:rsidRPr="00A6450D" w:rsidTr="00A6450D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450D" w:rsidRPr="00A6450D" w:rsidTr="00A6450D">
        <w:trPr>
          <w:trHeight w:val="290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45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1. PRERAZPOREDITVE IZ SREDSTEV PRORAČUNSKE </w:t>
            </w:r>
            <w:r w:rsidR="000A49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Pr="00A645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EZERVACIJE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B384E" w:rsidRDefault="00EB384E" w:rsidP="00EB384E">
      <w:pPr>
        <w:jc w:val="both"/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60"/>
        <w:gridCol w:w="711"/>
        <w:gridCol w:w="1860"/>
        <w:gridCol w:w="1760"/>
        <w:gridCol w:w="780"/>
      </w:tblGrid>
      <w:tr w:rsidR="00A6450D" w:rsidRPr="00A6450D" w:rsidTr="00A6450D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45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PRERAZPOREDITVE IZ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45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PRERAZPOREDITVE NA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450D" w:rsidRPr="00A6450D" w:rsidTr="00A6450D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Proračunska postavka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Konto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Znesek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Proračunska postavka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Konto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Znesek </w:t>
            </w:r>
          </w:p>
        </w:tc>
      </w:tr>
      <w:tr w:rsidR="00A6450D" w:rsidRPr="00A6450D" w:rsidTr="00A6450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23002 Splošna proračunska rezervacija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409000 Splošna proračunska rezervacija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16013  Druge komunalne storitve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40209992 Izdelava </w:t>
            </w:r>
            <w:proofErr w:type="spellStart"/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proj.pogojev</w:t>
            </w:r>
            <w:proofErr w:type="spellEnd"/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, smernic, soglasij-Komunala, </w:t>
            </w:r>
            <w:proofErr w:type="spellStart"/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Hydrovod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400,00</w:t>
            </w:r>
          </w:p>
        </w:tc>
      </w:tr>
      <w:tr w:rsidR="00A6450D" w:rsidRPr="00A6450D" w:rsidTr="00A6450D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23002 Splošna proračunska rezervacija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409000 Splošna proračunska rezervacija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100,71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16012 Praznična okrasitev naselij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4022031 Praznična okrasitev naselij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100,71</w:t>
            </w:r>
          </w:p>
        </w:tc>
      </w:tr>
      <w:tr w:rsidR="00A6450D" w:rsidRPr="00A6450D" w:rsidTr="00A6450D">
        <w:trPr>
          <w:trHeight w:val="6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23002 Splošna proračunska rezervacija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409000 Splošna proračunska rezervacija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1.474,95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04006  Spletne strani občine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4202043  Nakup hidrometeorološke opreme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1.474,95</w:t>
            </w:r>
          </w:p>
        </w:tc>
      </w:tr>
      <w:tr w:rsidR="00A6450D" w:rsidRPr="00A6450D" w:rsidTr="00A6450D">
        <w:trPr>
          <w:trHeight w:val="63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23002 Splošna proračunska rezervacija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409000 Splošna proračunska rezervacija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15007 Vzdrževanje kanalizacijskih sistemov in čistilnih naprav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4025034 Tekoče vzdrževanje drugih objektov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2.000,00</w:t>
            </w:r>
          </w:p>
        </w:tc>
      </w:tr>
      <w:tr w:rsidR="00A6450D" w:rsidRPr="00A6450D" w:rsidTr="00A6450D">
        <w:trPr>
          <w:trHeight w:val="58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23002 Splošna proračunska rezervacija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409000 Splošna proračunska rezervacija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18005  Stroški kulturnih prireditev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4020991  Stroški za </w:t>
            </w:r>
            <w:proofErr w:type="spellStart"/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mat.in</w:t>
            </w:r>
            <w:proofErr w:type="spellEnd"/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 storitve-stroški kulturnih prireditev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200,00</w:t>
            </w:r>
          </w:p>
        </w:tc>
      </w:tr>
      <w:tr w:rsidR="00A6450D" w:rsidRPr="00A6450D" w:rsidTr="00A6450D">
        <w:trPr>
          <w:trHeight w:val="6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23002 Splošna proračunska rezervacija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409000 Splošna proračunska rezervacija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18027  Šport v društvih - vrhunski šport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411999  Drugi transferi posameznikom in gospodinjstvom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1.000,00</w:t>
            </w:r>
          </w:p>
        </w:tc>
      </w:tr>
      <w:tr w:rsidR="00A6450D" w:rsidRPr="00A6450D" w:rsidTr="00A6450D">
        <w:trPr>
          <w:trHeight w:val="6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23002 Splošna proračunska rezervacija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409000 Splošna proračunska rezervacija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20010  Sofinanciranje humanitarnih organizacij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411999  Drugi transferi posameznikom in </w:t>
            </w:r>
            <w:proofErr w:type="spellStart"/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gospodinstvom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700,00</w:t>
            </w:r>
          </w:p>
        </w:tc>
      </w:tr>
      <w:tr w:rsidR="00A6450D" w:rsidRPr="00A6450D" w:rsidTr="00A6450D">
        <w:trPr>
          <w:trHeight w:val="5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23002 Splošna proračunska rezervacija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 xml:space="preserve">409000 Splošna proračunska rezervacija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4.098,58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04012  Upravljanje in vzdrževanje poslovnih prostorov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402099994 Izdelava energetske izkaznice za javne objekte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color w:val="000000"/>
                <w:sz w:val="16"/>
                <w:szCs w:val="16"/>
              </w:rPr>
              <w:t>4.098,58</w:t>
            </w:r>
          </w:p>
        </w:tc>
      </w:tr>
      <w:tr w:rsidR="00A6450D" w:rsidRPr="00A6450D" w:rsidTr="00A6450D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9.974,24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0D" w:rsidRPr="00A6450D" w:rsidRDefault="00A6450D" w:rsidP="00A6450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645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9.974,24</w:t>
            </w:r>
          </w:p>
        </w:tc>
      </w:tr>
    </w:tbl>
    <w:p w:rsidR="00A6450D" w:rsidRDefault="00A6450D" w:rsidP="00EB384E">
      <w:pPr>
        <w:jc w:val="both"/>
      </w:pPr>
    </w:p>
    <w:p w:rsidR="00A6450D" w:rsidRDefault="00A6450D" w:rsidP="00EB384E">
      <w:pPr>
        <w:jc w:val="both"/>
      </w:pPr>
    </w:p>
    <w:p w:rsidR="00A6450D" w:rsidRDefault="00A6450D" w:rsidP="00EB384E">
      <w:pPr>
        <w:jc w:val="both"/>
      </w:pPr>
    </w:p>
    <w:p w:rsidR="00A6450D" w:rsidRDefault="00A6450D" w:rsidP="00EB384E">
      <w:pPr>
        <w:jc w:val="both"/>
      </w:pPr>
    </w:p>
    <w:p w:rsidR="00A6450D" w:rsidRDefault="00A6450D" w:rsidP="00EB384E">
      <w:pPr>
        <w:jc w:val="both"/>
      </w:pPr>
    </w:p>
    <w:p w:rsidR="00A6450D" w:rsidRDefault="00A6450D" w:rsidP="00EB384E">
      <w:pPr>
        <w:jc w:val="both"/>
      </w:pPr>
    </w:p>
    <w:tbl>
      <w:tblPr>
        <w:tblW w:w="10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2814"/>
        <w:gridCol w:w="1173"/>
        <w:gridCol w:w="1361"/>
        <w:gridCol w:w="2808"/>
        <w:gridCol w:w="369"/>
        <w:gridCol w:w="571"/>
        <w:gridCol w:w="338"/>
      </w:tblGrid>
      <w:tr w:rsidR="00EB384E" w:rsidTr="00D830D4">
        <w:trPr>
          <w:trHeight w:val="30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2"/>
              <w:gridCol w:w="1557"/>
              <w:gridCol w:w="605"/>
              <w:gridCol w:w="2000"/>
              <w:gridCol w:w="1760"/>
              <w:gridCol w:w="780"/>
            </w:tblGrid>
            <w:tr w:rsidR="00A6450D" w:rsidRPr="00A6450D" w:rsidTr="00A6450D">
              <w:trPr>
                <w:trHeight w:val="290"/>
              </w:trPr>
              <w:tc>
                <w:tcPr>
                  <w:tcW w:w="6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450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2. PRERAZPOREDITVE V OKVIRU ISTE PRORAČUNSKE POSTAVKE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450D" w:rsidRPr="00A6450D" w:rsidTr="00A6450D">
              <w:trPr>
                <w:trHeight w:val="290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450D" w:rsidRPr="00A6450D" w:rsidTr="00A6450D">
              <w:trPr>
                <w:trHeight w:val="300"/>
              </w:trPr>
              <w:tc>
                <w:tcPr>
                  <w:tcW w:w="35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450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PRERAZPOREDITVE IZ 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450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PRERAZPOREDITVE NA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450D" w:rsidRPr="00A6450D" w:rsidTr="00A6450D">
              <w:trPr>
                <w:trHeight w:val="290"/>
              </w:trPr>
              <w:tc>
                <w:tcPr>
                  <w:tcW w:w="19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6450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Proračunska postavka </w:t>
                  </w:r>
                </w:p>
              </w:tc>
              <w:tc>
                <w:tcPr>
                  <w:tcW w:w="155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6450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Konto </w:t>
                  </w:r>
                </w:p>
              </w:tc>
              <w:tc>
                <w:tcPr>
                  <w:tcW w:w="59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6450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Znesek </w:t>
                  </w:r>
                </w:p>
              </w:tc>
              <w:tc>
                <w:tcPr>
                  <w:tcW w:w="20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6450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Proračunska postavka 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6450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Konto 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6450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Znesek </w:t>
                  </w:r>
                </w:p>
              </w:tc>
            </w:tr>
            <w:tr w:rsidR="00A6450D" w:rsidRPr="00A6450D" w:rsidTr="00A6450D">
              <w:trPr>
                <w:trHeight w:val="745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6450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06007  Nakup opreme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6450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420202  Nakup strojne računalniške opreme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6450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900,36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6450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06007  Nakup opreme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50D" w:rsidRPr="00A6450D" w:rsidRDefault="00A6450D" w:rsidP="00A6450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6450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420200 Nakup pisarniškega pohištva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50D" w:rsidRPr="00A6450D" w:rsidRDefault="00A6450D" w:rsidP="00A6450D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6450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900,36</w:t>
                  </w:r>
                </w:p>
              </w:tc>
            </w:tr>
          </w:tbl>
          <w:p w:rsidR="00EB384E" w:rsidRDefault="00EB384E" w:rsidP="008E49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384E" w:rsidTr="00D830D4">
        <w:trPr>
          <w:trHeight w:val="27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84E" w:rsidTr="00D830D4">
        <w:trPr>
          <w:gridAfter w:val="1"/>
          <w:wAfter w:w="338" w:type="dxa"/>
          <w:trHeight w:val="300"/>
        </w:trPr>
        <w:tc>
          <w:tcPr>
            <w:tcW w:w="9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4E" w:rsidRDefault="00EB384E" w:rsidP="008E49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B384E" w:rsidRPr="00D0166B" w:rsidRDefault="00EB384E" w:rsidP="00EB384E">
      <w:pPr>
        <w:jc w:val="both"/>
        <w:rPr>
          <w:b/>
        </w:rPr>
      </w:pPr>
      <w:r w:rsidRPr="00D0166B">
        <w:rPr>
          <w:b/>
        </w:rPr>
        <w:t xml:space="preserve">3. Razlaga glavnih odstopanj v primerjavi s sprejetim proračunom </w:t>
      </w:r>
    </w:p>
    <w:p w:rsidR="00EB384E" w:rsidRDefault="00EB384E" w:rsidP="00EB384E">
      <w:pPr>
        <w:jc w:val="both"/>
      </w:pPr>
    </w:p>
    <w:p w:rsidR="00EB384E" w:rsidRDefault="00EB384E" w:rsidP="00EB384E">
      <w:pPr>
        <w:jc w:val="both"/>
      </w:pPr>
      <w:r>
        <w:t>Glavna odstopanja so razvidna iz prerazporeditev, ki so bile izvedene po spreje</w:t>
      </w:r>
      <w:r w:rsidR="00C3294A">
        <w:t xml:space="preserve">tem proračunu. </w:t>
      </w:r>
    </w:p>
    <w:p w:rsidR="00C3294A" w:rsidRDefault="00C3294A" w:rsidP="00EB384E">
      <w:pPr>
        <w:jc w:val="both"/>
      </w:pPr>
    </w:p>
    <w:p w:rsidR="00C3294A" w:rsidRDefault="00C3294A" w:rsidP="00EB384E">
      <w:pPr>
        <w:jc w:val="both"/>
      </w:pPr>
      <w:r>
        <w:t xml:space="preserve">Prerazporeditve za nove proračunske postavke, oziroma postavke, na katerih ni bilo predvidenih dovolj sredstev, smo sredstva prenesli iz sredstev tekoče proračunske rezervacije, ki je bila po sprejetem </w:t>
      </w:r>
      <w:r w:rsidR="00D830D4">
        <w:t>proračunu predvidena v višini 10</w:t>
      </w:r>
      <w:r w:rsidR="00A539B8">
        <w:t>.</w:t>
      </w:r>
      <w:r w:rsidR="00891D3F">
        <w:t xml:space="preserve">000 EUR in je </w:t>
      </w:r>
      <w:r w:rsidR="000A4911">
        <w:t xml:space="preserve">skoraj v celoti  tudi  </w:t>
      </w:r>
      <w:r w:rsidR="00891D3F">
        <w:t xml:space="preserve"> porabljena. </w:t>
      </w:r>
    </w:p>
    <w:p w:rsidR="00C3294A" w:rsidRDefault="00C3294A" w:rsidP="00EB384E">
      <w:pPr>
        <w:jc w:val="both"/>
      </w:pPr>
      <w:r>
        <w:t xml:space="preserve">Tudi druge prerazporeditve so bile opravljene v glavnem v okviru podprogramov, oziroma med samimi proračunskimi postavkami z prenosom na druge ali nove konte.  </w:t>
      </w:r>
    </w:p>
    <w:p w:rsidR="00EB384E" w:rsidRDefault="00EB384E" w:rsidP="00EB384E">
      <w:pPr>
        <w:jc w:val="both"/>
      </w:pPr>
    </w:p>
    <w:p w:rsidR="00EB384E" w:rsidRDefault="00EB384E" w:rsidP="00EB384E">
      <w:pPr>
        <w:jc w:val="both"/>
      </w:pPr>
    </w:p>
    <w:p w:rsidR="00A52401" w:rsidRDefault="00A52401" w:rsidP="00EB384E">
      <w:pPr>
        <w:jc w:val="both"/>
      </w:pPr>
    </w:p>
    <w:p w:rsidR="00C3294A" w:rsidRDefault="00C3294A" w:rsidP="00EB384E">
      <w:pPr>
        <w:jc w:val="both"/>
      </w:pPr>
    </w:p>
    <w:p w:rsidR="00C3294A" w:rsidRDefault="00C3294A" w:rsidP="00EB384E">
      <w:pPr>
        <w:jc w:val="both"/>
      </w:pPr>
    </w:p>
    <w:p w:rsidR="00EB384E" w:rsidRDefault="00EB384E" w:rsidP="00EB384E">
      <w:pPr>
        <w:jc w:val="both"/>
      </w:pPr>
      <w:r>
        <w:t xml:space="preserve"> </w:t>
      </w:r>
    </w:p>
    <w:p w:rsidR="00EB384E" w:rsidRDefault="00EB384E" w:rsidP="00EB384E">
      <w:pPr>
        <w:jc w:val="both"/>
      </w:pPr>
      <w:r>
        <w:t>Pripravila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Župan: </w:t>
      </w:r>
    </w:p>
    <w:p w:rsidR="00EB384E" w:rsidRDefault="00EB384E" w:rsidP="00EB384E">
      <w:r>
        <w:t xml:space="preserve">Ivanka Novak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4FFC">
        <w:t>Ivan Benčina, l.r.</w:t>
      </w:r>
    </w:p>
    <w:p w:rsidR="00EB384E" w:rsidRDefault="00EB384E" w:rsidP="00EB384E"/>
    <w:p w:rsidR="00EB384E" w:rsidRDefault="00EB384E" w:rsidP="00EB384E"/>
    <w:p w:rsidR="00EB384E" w:rsidRDefault="00EB384E" w:rsidP="00EB384E"/>
    <w:p w:rsidR="00EB384E" w:rsidRDefault="00EB384E" w:rsidP="00EB384E"/>
    <w:p w:rsidR="00EB384E" w:rsidRDefault="00EB384E" w:rsidP="00EB384E"/>
    <w:p w:rsidR="00EB384E" w:rsidRDefault="00EB384E" w:rsidP="00EB384E"/>
    <w:p w:rsidR="00EB384E" w:rsidRDefault="00EB384E" w:rsidP="00EB384E"/>
    <w:p w:rsidR="00EB384E" w:rsidRDefault="00EB384E" w:rsidP="00EB384E"/>
    <w:p w:rsidR="00E56A5F" w:rsidRDefault="00E56A5F"/>
    <w:p w:rsidR="007B5EEB" w:rsidRDefault="007B5EEB"/>
    <w:sectPr w:rsidR="007B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60C2"/>
    <w:multiLevelType w:val="hybridMultilevel"/>
    <w:tmpl w:val="7B341FA4"/>
    <w:lvl w:ilvl="0" w:tplc="0424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135C0"/>
    <w:multiLevelType w:val="hybridMultilevel"/>
    <w:tmpl w:val="317CD97E"/>
    <w:lvl w:ilvl="0" w:tplc="62B05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4E"/>
    <w:rsid w:val="00080A08"/>
    <w:rsid w:val="00087309"/>
    <w:rsid w:val="000A4911"/>
    <w:rsid w:val="000D30F5"/>
    <w:rsid w:val="00195CB8"/>
    <w:rsid w:val="00197A3C"/>
    <w:rsid w:val="001E67E5"/>
    <w:rsid w:val="001F33A2"/>
    <w:rsid w:val="0020798A"/>
    <w:rsid w:val="002454BE"/>
    <w:rsid w:val="00290A56"/>
    <w:rsid w:val="002A6D28"/>
    <w:rsid w:val="002F484C"/>
    <w:rsid w:val="00300BCD"/>
    <w:rsid w:val="00343988"/>
    <w:rsid w:val="00350AEB"/>
    <w:rsid w:val="00435276"/>
    <w:rsid w:val="00443660"/>
    <w:rsid w:val="0054144D"/>
    <w:rsid w:val="005E34F0"/>
    <w:rsid w:val="0060205E"/>
    <w:rsid w:val="006278F0"/>
    <w:rsid w:val="006B4FA9"/>
    <w:rsid w:val="006E51FA"/>
    <w:rsid w:val="007134A6"/>
    <w:rsid w:val="00723C78"/>
    <w:rsid w:val="00755128"/>
    <w:rsid w:val="00757FA7"/>
    <w:rsid w:val="00781AE5"/>
    <w:rsid w:val="0079153B"/>
    <w:rsid w:val="007B5D61"/>
    <w:rsid w:val="007B5EEB"/>
    <w:rsid w:val="00847929"/>
    <w:rsid w:val="00891D3F"/>
    <w:rsid w:val="008A5F94"/>
    <w:rsid w:val="008C3291"/>
    <w:rsid w:val="00901B58"/>
    <w:rsid w:val="00903D7C"/>
    <w:rsid w:val="0093728C"/>
    <w:rsid w:val="0094104A"/>
    <w:rsid w:val="0097628E"/>
    <w:rsid w:val="00996161"/>
    <w:rsid w:val="009D0D53"/>
    <w:rsid w:val="009E74CB"/>
    <w:rsid w:val="00A2054B"/>
    <w:rsid w:val="00A24981"/>
    <w:rsid w:val="00A52401"/>
    <w:rsid w:val="00A539B8"/>
    <w:rsid w:val="00A6450D"/>
    <w:rsid w:val="00AD64B8"/>
    <w:rsid w:val="00B74B39"/>
    <w:rsid w:val="00C006FF"/>
    <w:rsid w:val="00C158E5"/>
    <w:rsid w:val="00C30855"/>
    <w:rsid w:val="00C3294A"/>
    <w:rsid w:val="00C44FFC"/>
    <w:rsid w:val="00C850FA"/>
    <w:rsid w:val="00CE3F5D"/>
    <w:rsid w:val="00D17D98"/>
    <w:rsid w:val="00D22EF2"/>
    <w:rsid w:val="00D830D4"/>
    <w:rsid w:val="00D87490"/>
    <w:rsid w:val="00D87D9D"/>
    <w:rsid w:val="00DB7A59"/>
    <w:rsid w:val="00E046CC"/>
    <w:rsid w:val="00E278D2"/>
    <w:rsid w:val="00E56A5F"/>
    <w:rsid w:val="00EB384E"/>
    <w:rsid w:val="00ED0709"/>
    <w:rsid w:val="00F81DDA"/>
    <w:rsid w:val="00F92C2B"/>
    <w:rsid w:val="00F92E40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384E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B384E"/>
    <w:pPr>
      <w:keepNext/>
      <w:jc w:val="center"/>
      <w:outlineLvl w:val="4"/>
    </w:pPr>
    <w:rPr>
      <w:b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95C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EB384E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95C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7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72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B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384E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B384E"/>
    <w:pPr>
      <w:keepNext/>
      <w:jc w:val="center"/>
      <w:outlineLvl w:val="4"/>
    </w:pPr>
    <w:rPr>
      <w:b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95C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EB384E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95C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7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72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B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2</cp:revision>
  <cp:lastPrinted>2014-09-17T05:59:00Z</cp:lastPrinted>
  <dcterms:created xsi:type="dcterms:W3CDTF">2016-09-19T07:41:00Z</dcterms:created>
  <dcterms:modified xsi:type="dcterms:W3CDTF">2016-09-19T07:41:00Z</dcterms:modified>
</cp:coreProperties>
</file>