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FB" w:rsidRDefault="00536D83" w:rsidP="00536D83">
      <w:pPr>
        <w:spacing w:after="0"/>
        <w:rPr>
          <w:b/>
          <w:bCs/>
          <w:caps/>
          <w:sz w:val="28"/>
          <w:szCs w:val="28"/>
        </w:rPr>
      </w:pPr>
      <w:r>
        <w:rPr>
          <w:b/>
          <w:bCs/>
          <w:caps/>
          <w:sz w:val="28"/>
          <w:szCs w:val="28"/>
        </w:rPr>
        <w:t>PR</w:t>
      </w:r>
      <w:r w:rsidR="00B268BF">
        <w:rPr>
          <w:b/>
          <w:bCs/>
          <w:caps/>
          <w:sz w:val="28"/>
          <w:szCs w:val="28"/>
        </w:rPr>
        <w:t>I</w:t>
      </w:r>
      <w:r>
        <w:rPr>
          <w:b/>
          <w:bCs/>
          <w:caps/>
          <w:sz w:val="28"/>
          <w:szCs w:val="28"/>
        </w:rPr>
        <w:t xml:space="preserve">LOGA </w:t>
      </w:r>
      <w:r w:rsidR="00B110E2">
        <w:rPr>
          <w:b/>
          <w:bCs/>
          <w:caps/>
          <w:sz w:val="28"/>
          <w:szCs w:val="28"/>
        </w:rPr>
        <w:t>4</w:t>
      </w:r>
      <w:r>
        <w:rPr>
          <w:b/>
          <w:bCs/>
          <w:caps/>
          <w:sz w:val="28"/>
          <w:szCs w:val="28"/>
        </w:rPr>
        <w:t>:</w:t>
      </w:r>
      <w:r w:rsidR="00B268BF">
        <w:rPr>
          <w:b/>
          <w:bCs/>
          <w:caps/>
          <w:sz w:val="28"/>
          <w:szCs w:val="28"/>
        </w:rPr>
        <w:t xml:space="preserve"> </w:t>
      </w:r>
      <w:r w:rsidR="0089241A" w:rsidRPr="00AB14FB">
        <w:rPr>
          <w:b/>
          <w:bCs/>
          <w:caps/>
          <w:sz w:val="28"/>
          <w:szCs w:val="28"/>
        </w:rPr>
        <w:t xml:space="preserve">Stopnja izkoriščenosti zmogljivosti </w:t>
      </w:r>
    </w:p>
    <w:p w:rsidR="00304FB2" w:rsidRPr="00AB14FB" w:rsidRDefault="00536D83" w:rsidP="00536D83">
      <w:pPr>
        <w:spacing w:after="0"/>
        <w:rPr>
          <w:caps/>
          <w:sz w:val="28"/>
          <w:szCs w:val="28"/>
        </w:rPr>
      </w:pPr>
      <w:r>
        <w:rPr>
          <w:b/>
          <w:bCs/>
          <w:caps/>
          <w:sz w:val="28"/>
          <w:szCs w:val="28"/>
        </w:rPr>
        <w:t xml:space="preserve">                      </w:t>
      </w:r>
      <w:r w:rsidR="0089241A" w:rsidRPr="00AB14FB">
        <w:rPr>
          <w:b/>
          <w:bCs/>
          <w:caps/>
          <w:sz w:val="28"/>
          <w:szCs w:val="28"/>
        </w:rPr>
        <w:t>infrastrukture javne službe</w:t>
      </w:r>
    </w:p>
    <w:p w:rsidR="0089241A" w:rsidRPr="0089241A" w:rsidRDefault="0089241A" w:rsidP="0089241A">
      <w:pPr>
        <w:pStyle w:val="vrstapredpisa"/>
        <w:jc w:val="both"/>
        <w:rPr>
          <w:rFonts w:asciiTheme="minorHAnsi" w:hAnsiTheme="minorHAnsi"/>
        </w:rPr>
      </w:pPr>
      <w:r w:rsidRPr="0089241A">
        <w:rPr>
          <w:rFonts w:asciiTheme="minorHAnsi" w:hAnsiTheme="minorHAnsi"/>
        </w:rPr>
        <w:t xml:space="preserve">Uredba o metodologiji za oblikovanje cen storitev obveznih občinskih gospodarskih javnih služb varstva okolja v 2. členu določa, da je </w:t>
      </w:r>
      <w:r w:rsidRPr="0089241A">
        <w:rPr>
          <w:rFonts w:asciiTheme="minorHAnsi" w:hAnsiTheme="minorHAnsi"/>
          <w:b/>
          <w:bCs/>
        </w:rPr>
        <w:t>stopnja izkoriščenosti zmogljivosti infrastrukture javne službe</w:t>
      </w:r>
      <w:r w:rsidRPr="0089241A">
        <w:rPr>
          <w:rFonts w:asciiTheme="minorHAnsi" w:hAnsiTheme="minorHAnsi"/>
        </w:rPr>
        <w:t xml:space="preserve"> </w:t>
      </w:r>
      <w:r w:rsidRPr="00573678">
        <w:rPr>
          <w:rFonts w:asciiTheme="minorHAnsi" w:hAnsiTheme="minorHAnsi"/>
          <w:b/>
        </w:rPr>
        <w:t>je razmerje med dejansko izkoriščenostjo zmogljivosti infrastrukture javne službe in največjo projektirano zmogljivostjo infrastrukture javne službe</w:t>
      </w:r>
      <w:r w:rsidRPr="0089241A">
        <w:rPr>
          <w:rFonts w:asciiTheme="minorHAnsi" w:hAnsiTheme="minorHAnsi"/>
        </w:rPr>
        <w:t>, pri kateri se lahko infrastruktura javne službe normalno uporablja za opravljanje storitev javne službe in pri kateri se lahko zagotavlja normalni standard storitev javne službe ob upoštevanju razpoložljive tehnike in veljavnih standardov. Izkoriščenost zmogljivosti infrastrukture javne službe določa, v kakšnem obsegu so zmogljivosti infrastrukture javne službe dejansko uporabljene.</w:t>
      </w:r>
    </w:p>
    <w:p w:rsidR="0089241A" w:rsidRPr="0089241A" w:rsidRDefault="0089241A" w:rsidP="0089241A">
      <w:pPr>
        <w:pStyle w:val="vrstapredpisa"/>
        <w:jc w:val="both"/>
        <w:rPr>
          <w:rFonts w:asciiTheme="minorHAnsi" w:hAnsiTheme="minorHAnsi"/>
        </w:rPr>
      </w:pPr>
      <w:r w:rsidRPr="0089241A">
        <w:rPr>
          <w:rFonts w:asciiTheme="minorHAnsi" w:hAnsiTheme="minorHAnsi"/>
        </w:rPr>
        <w:t xml:space="preserve">Uredba v 9. členu določa, da elaborat vsebuje tudi stopnjo izkoriščenosti javne infrastrukture, ki je namenjena izvajanju javne službe, in stopnjo izkoriščenosti javne infrastrukture, ki je namenjena za izvajanje posebnih storitev. </w:t>
      </w:r>
    </w:p>
    <w:p w:rsidR="0089241A" w:rsidRPr="0041149A" w:rsidRDefault="0089241A" w:rsidP="0089241A">
      <w:pPr>
        <w:pStyle w:val="len"/>
        <w:jc w:val="both"/>
        <w:rPr>
          <w:rFonts w:asciiTheme="minorHAnsi" w:hAnsiTheme="minorHAnsi"/>
        </w:rPr>
      </w:pPr>
      <w:r w:rsidRPr="0089241A">
        <w:rPr>
          <w:rFonts w:asciiTheme="minorHAnsi" w:hAnsiTheme="minorHAnsi"/>
        </w:rPr>
        <w:t xml:space="preserve">Uredba v 13. členu določa, da </w:t>
      </w:r>
      <w:r w:rsidRPr="0034348C">
        <w:rPr>
          <w:rFonts w:asciiTheme="minorHAnsi" w:hAnsiTheme="minorHAnsi"/>
        </w:rPr>
        <w:t>stopnjo izkoriščenosti zmogljivosti javne infrastrukture</w:t>
      </w:r>
      <w:r w:rsidRPr="0089241A">
        <w:rPr>
          <w:rFonts w:asciiTheme="minorHAnsi" w:hAnsiTheme="minorHAnsi"/>
        </w:rPr>
        <w:t xml:space="preserve"> najmanj enkrat letno ugotavlja pristojni soglasodajalec za to infrastrukturo v skladu z </w:t>
      </w:r>
      <w:r w:rsidRPr="0041149A">
        <w:rPr>
          <w:rFonts w:asciiTheme="minorHAnsi" w:hAnsiTheme="minorHAnsi"/>
        </w:rPr>
        <w:t>zakonom, ki ureja graditev objektov.</w:t>
      </w:r>
    </w:p>
    <w:p w:rsidR="0089241A" w:rsidRPr="0041149A" w:rsidRDefault="0089241A" w:rsidP="0089241A">
      <w:pPr>
        <w:pStyle w:val="len"/>
        <w:jc w:val="both"/>
        <w:rPr>
          <w:rFonts w:asciiTheme="minorHAnsi" w:hAnsiTheme="minorHAnsi"/>
        </w:rPr>
      </w:pPr>
      <w:r w:rsidRPr="0041149A">
        <w:rPr>
          <w:rFonts w:asciiTheme="minorHAnsi" w:hAnsiTheme="minorHAnsi"/>
        </w:rPr>
        <w:t xml:space="preserve">Uredba v 16. členu določa, da </w:t>
      </w:r>
      <w:r w:rsidRPr="0041149A">
        <w:rPr>
          <w:rFonts w:asciiTheme="minorHAnsi" w:hAnsiTheme="minorHAnsi"/>
          <w:b/>
        </w:rPr>
        <w:t>se stroški amortizacije izračunavajo</w:t>
      </w:r>
      <w:r w:rsidRPr="0041149A">
        <w:rPr>
          <w:rFonts w:asciiTheme="minorHAnsi" w:hAnsiTheme="minorHAnsi"/>
        </w:rPr>
        <w:t xml:space="preserve"> </w:t>
      </w:r>
      <w:r w:rsidRPr="0041149A">
        <w:rPr>
          <w:rFonts w:asciiTheme="minorHAnsi" w:hAnsiTheme="minorHAnsi"/>
          <w:b/>
        </w:rPr>
        <w:t xml:space="preserve">po metodi časovnega amortiziranja, glede na stopnjo izkoriščenosti </w:t>
      </w:r>
      <w:r w:rsidRPr="0041149A">
        <w:rPr>
          <w:rFonts w:asciiTheme="minorHAnsi" w:hAnsiTheme="minorHAnsi"/>
        </w:rPr>
        <w:t>zmogljivosti infrastrukture</w:t>
      </w:r>
      <w:r w:rsidRPr="0041149A">
        <w:rPr>
          <w:rFonts w:asciiTheme="minorHAnsi" w:hAnsiTheme="minorHAnsi"/>
          <w:b/>
        </w:rPr>
        <w:t xml:space="preserve"> </w:t>
      </w:r>
      <w:r w:rsidRPr="0041149A">
        <w:rPr>
          <w:rFonts w:asciiTheme="minorHAnsi" w:hAnsiTheme="minorHAnsi"/>
        </w:rPr>
        <w:t>javne službe in ob upoštevanju življenjske dobe, navedene v prilogi 1, ki je sestavni del te uredbe.</w:t>
      </w:r>
    </w:p>
    <w:p w:rsidR="00946EF3" w:rsidRDefault="00946EF3" w:rsidP="006E7534">
      <w:pPr>
        <w:pStyle w:val="vrstapredpisa"/>
        <w:spacing w:before="0" w:beforeAutospacing="0" w:after="0" w:afterAutospacing="0"/>
        <w:jc w:val="both"/>
        <w:rPr>
          <w:rFonts w:asciiTheme="minorHAnsi" w:hAnsiTheme="minorHAnsi"/>
        </w:rPr>
      </w:pPr>
      <w:r>
        <w:rPr>
          <w:rFonts w:asciiTheme="minorHAnsi" w:hAnsiTheme="minorHAnsi"/>
        </w:rPr>
        <w:t xml:space="preserve">Občina </w:t>
      </w:r>
      <w:r w:rsidR="00790A09">
        <w:rPr>
          <w:rFonts w:asciiTheme="minorHAnsi" w:hAnsiTheme="minorHAnsi"/>
        </w:rPr>
        <w:t>Dobrovnik</w:t>
      </w:r>
      <w:r>
        <w:rPr>
          <w:rFonts w:asciiTheme="minorHAnsi" w:hAnsiTheme="minorHAnsi"/>
        </w:rPr>
        <w:t xml:space="preserve">  je po končani investiciji Pomurski vodovod-sistem A v svoje premoženje prenesla po domicilnem principu celotno novo oziroma dodatno vrednost transportnega omrežja od VV Gaberje do meje občine </w:t>
      </w:r>
      <w:r w:rsidR="00790A09">
        <w:rPr>
          <w:rFonts w:asciiTheme="minorHAnsi" w:hAnsiTheme="minorHAnsi"/>
        </w:rPr>
        <w:t>z Občino Kobilje</w:t>
      </w:r>
      <w:r>
        <w:rPr>
          <w:rFonts w:asciiTheme="minorHAnsi" w:hAnsiTheme="minorHAnsi"/>
        </w:rPr>
        <w:t xml:space="preserve">. </w:t>
      </w:r>
      <w:r w:rsidR="00790A09">
        <w:rPr>
          <w:rFonts w:asciiTheme="minorHAnsi" w:hAnsiTheme="minorHAnsi"/>
        </w:rPr>
        <w:t>Zaradi še vedno neurejenih solastniških razmerij med občinami solastnicami sistema A, občina v svojih poslovnih knjigah še ne izkazuje premoženja iz naslova VV Gaberje.</w:t>
      </w:r>
    </w:p>
    <w:p w:rsidR="005572D7" w:rsidRDefault="005572D7" w:rsidP="006E7534">
      <w:pPr>
        <w:pStyle w:val="vrstapredpisa"/>
        <w:spacing w:before="0" w:beforeAutospacing="0" w:after="0" w:afterAutospacing="0"/>
        <w:jc w:val="both"/>
        <w:rPr>
          <w:rFonts w:asciiTheme="minorHAnsi" w:hAnsiTheme="minorHAnsi"/>
        </w:rPr>
      </w:pPr>
    </w:p>
    <w:p w:rsidR="005572D7" w:rsidRDefault="005572D7" w:rsidP="006E7534">
      <w:pPr>
        <w:pStyle w:val="vrstapredpisa"/>
        <w:spacing w:before="0" w:beforeAutospacing="0" w:after="0" w:afterAutospacing="0"/>
        <w:jc w:val="both"/>
        <w:rPr>
          <w:rFonts w:asciiTheme="minorHAnsi" w:hAnsiTheme="minorHAnsi"/>
        </w:rPr>
      </w:pPr>
      <w:r>
        <w:rPr>
          <w:rFonts w:asciiTheme="minorHAnsi" w:hAnsiTheme="minorHAnsi"/>
        </w:rPr>
        <w:t>Pri izračunu neizkoriščenih kapacitet smo kot izhodišče vzeli podatke od 01.01.2017 do 3</w:t>
      </w:r>
      <w:r w:rsidR="00790A09">
        <w:rPr>
          <w:rFonts w:asciiTheme="minorHAnsi" w:hAnsiTheme="minorHAnsi"/>
        </w:rPr>
        <w:t>1</w:t>
      </w:r>
      <w:r>
        <w:rPr>
          <w:rFonts w:asciiTheme="minorHAnsi" w:hAnsiTheme="minorHAnsi"/>
        </w:rPr>
        <w:t>.</w:t>
      </w:r>
      <w:r w:rsidR="00790A09">
        <w:rPr>
          <w:rFonts w:asciiTheme="minorHAnsi" w:hAnsiTheme="minorHAnsi"/>
        </w:rPr>
        <w:t>10</w:t>
      </w:r>
      <w:r>
        <w:rPr>
          <w:rFonts w:asciiTheme="minorHAnsi" w:hAnsiTheme="minorHAnsi"/>
        </w:rPr>
        <w:t>.2017.</w:t>
      </w:r>
      <w:r w:rsidR="00790A09">
        <w:rPr>
          <w:rFonts w:asciiTheme="minorHAnsi" w:hAnsiTheme="minorHAnsi"/>
        </w:rPr>
        <w:t xml:space="preserve"> Izračun neizkoriščenih kapacitet obravnava le del, ki se nanaša na TV ter primarne in sekundarne vode, torek OS, ki jih občina v svojih poslovnih knjigah na dan izdelave izračuna dejansko izkazuje.</w:t>
      </w:r>
    </w:p>
    <w:p w:rsidR="005572D7" w:rsidRDefault="005572D7" w:rsidP="006E7534">
      <w:pPr>
        <w:pStyle w:val="vrstapredpisa"/>
        <w:spacing w:before="0" w:beforeAutospacing="0" w:after="0" w:afterAutospacing="0"/>
        <w:jc w:val="both"/>
        <w:rPr>
          <w:rFonts w:asciiTheme="minorHAnsi" w:hAnsiTheme="minorHAnsi"/>
        </w:rPr>
      </w:pPr>
    </w:p>
    <w:p w:rsidR="006E7534" w:rsidRPr="006E7534" w:rsidRDefault="006E7534" w:rsidP="006E7534">
      <w:pPr>
        <w:pStyle w:val="vrstapredpisa"/>
        <w:numPr>
          <w:ilvl w:val="0"/>
          <w:numId w:val="1"/>
        </w:numPr>
        <w:spacing w:before="0" w:beforeAutospacing="0" w:after="0" w:afterAutospacing="0"/>
        <w:jc w:val="both"/>
        <w:rPr>
          <w:rFonts w:asciiTheme="minorHAnsi" w:hAnsiTheme="minorHAnsi"/>
          <w:b/>
        </w:rPr>
      </w:pPr>
      <w:r w:rsidRPr="006E7534">
        <w:rPr>
          <w:rFonts w:asciiTheme="minorHAnsi" w:hAnsiTheme="minorHAnsi"/>
          <w:b/>
        </w:rPr>
        <w:t>Vodni viri</w:t>
      </w:r>
    </w:p>
    <w:p w:rsidR="006E7534" w:rsidRDefault="006E7534" w:rsidP="006E7534">
      <w:pPr>
        <w:pStyle w:val="vrstapredpisa"/>
        <w:spacing w:before="0" w:beforeAutospacing="0" w:after="0" w:afterAutospacing="0"/>
        <w:jc w:val="both"/>
        <w:rPr>
          <w:rFonts w:asciiTheme="minorHAnsi" w:hAnsiTheme="minorHAnsi"/>
        </w:rPr>
      </w:pPr>
    </w:p>
    <w:p w:rsidR="006E7534" w:rsidRPr="00B72A4C" w:rsidRDefault="006E7534" w:rsidP="006E7534">
      <w:pPr>
        <w:pStyle w:val="vrstapredpisa"/>
        <w:numPr>
          <w:ilvl w:val="1"/>
          <w:numId w:val="1"/>
        </w:numPr>
        <w:spacing w:before="0" w:beforeAutospacing="0" w:after="0" w:afterAutospacing="0"/>
        <w:jc w:val="both"/>
        <w:rPr>
          <w:rFonts w:asciiTheme="minorHAnsi" w:hAnsiTheme="minorHAnsi"/>
          <w:b/>
        </w:rPr>
      </w:pPr>
      <w:r w:rsidRPr="00B72A4C">
        <w:rPr>
          <w:rFonts w:asciiTheme="minorHAnsi" w:hAnsiTheme="minorHAnsi"/>
          <w:b/>
        </w:rPr>
        <w:t>Projektirane zmogljivosti vodnih virov</w:t>
      </w:r>
    </w:p>
    <w:p w:rsidR="006E7534" w:rsidRDefault="006E7534" w:rsidP="006E7534">
      <w:pPr>
        <w:pStyle w:val="vrstapredpisa"/>
        <w:spacing w:before="0" w:beforeAutospacing="0" w:after="0" w:afterAutospacing="0"/>
        <w:ind w:left="360"/>
        <w:jc w:val="both"/>
        <w:rPr>
          <w:rFonts w:asciiTheme="minorHAnsi" w:hAnsiTheme="minorHAnsi"/>
        </w:rPr>
      </w:pPr>
    </w:p>
    <w:p w:rsidR="006E7534" w:rsidRDefault="006E7534" w:rsidP="006E7534">
      <w:pPr>
        <w:pStyle w:val="vrstapredpisa"/>
        <w:spacing w:before="0" w:beforeAutospacing="0" w:after="0" w:afterAutospacing="0"/>
        <w:ind w:left="360"/>
        <w:jc w:val="both"/>
        <w:rPr>
          <w:rFonts w:asciiTheme="minorHAnsi" w:hAnsiTheme="minorHAnsi"/>
        </w:rPr>
      </w:pPr>
      <w:r w:rsidRPr="00C04871">
        <w:rPr>
          <w:rFonts w:asciiTheme="minorHAnsi" w:hAnsiTheme="minorHAnsi"/>
          <w:b/>
        </w:rPr>
        <w:t>Vodni vir Gaberje</w:t>
      </w:r>
      <w:r>
        <w:rPr>
          <w:rFonts w:asciiTheme="minorHAnsi" w:hAnsiTheme="minorHAnsi"/>
        </w:rPr>
        <w:t>, št. delnega vodnega dovoljenja: 35527-69/2012-9 (35527-58/2008), 28.9.2012</w:t>
      </w:r>
      <w:r w:rsidR="00C04871">
        <w:rPr>
          <w:rFonts w:asciiTheme="minorHAnsi" w:hAnsiTheme="minorHAnsi"/>
        </w:rPr>
        <w:t>, veljavno do 30.9.2042</w:t>
      </w:r>
      <w:r>
        <w:rPr>
          <w:rFonts w:asciiTheme="minorHAnsi" w:hAnsiTheme="minorHAnsi"/>
        </w:rPr>
        <w:t xml:space="preserve">: </w:t>
      </w:r>
    </w:p>
    <w:p w:rsidR="006E7534" w:rsidRPr="006E7534" w:rsidRDefault="006E7534" w:rsidP="006E7534">
      <w:pPr>
        <w:pStyle w:val="vrstapredpisa"/>
        <w:numPr>
          <w:ilvl w:val="0"/>
          <w:numId w:val="2"/>
        </w:numPr>
        <w:spacing w:before="0" w:beforeAutospacing="0" w:after="0" w:afterAutospacing="0"/>
        <w:jc w:val="both"/>
        <w:rPr>
          <w:rFonts w:asciiTheme="minorHAnsi" w:hAnsiTheme="minorHAnsi"/>
        </w:rPr>
      </w:pPr>
      <w:r>
        <w:rPr>
          <w:rFonts w:asciiTheme="minorHAnsi" w:hAnsiTheme="minorHAnsi"/>
        </w:rPr>
        <w:t xml:space="preserve">Vodnjak V-1/87 (črpališče Gaberje), </w:t>
      </w:r>
      <w:r w:rsidR="00C04871">
        <w:rPr>
          <w:rFonts w:asciiTheme="minorHAnsi" w:hAnsiTheme="minorHAnsi"/>
        </w:rPr>
        <w:t xml:space="preserve">v količini </w:t>
      </w:r>
      <w:r>
        <w:rPr>
          <w:rFonts w:asciiTheme="minorHAnsi" w:hAnsiTheme="minorHAnsi"/>
        </w:rPr>
        <w:t>največ: 65,0 l/s oz. 2.049.840 m</w:t>
      </w:r>
      <w:r w:rsidRPr="006E7534">
        <w:rPr>
          <w:rFonts w:asciiTheme="minorHAnsi" w:hAnsiTheme="minorHAnsi"/>
          <w:vertAlign w:val="superscript"/>
        </w:rPr>
        <w:t>3</w:t>
      </w:r>
      <w:r w:rsidRPr="006E7534">
        <w:rPr>
          <w:rFonts w:asciiTheme="minorHAnsi" w:hAnsiTheme="minorHAnsi"/>
        </w:rPr>
        <w:t>/</w:t>
      </w:r>
      <w:r>
        <w:rPr>
          <w:rFonts w:asciiTheme="minorHAnsi" w:hAnsiTheme="minorHAnsi"/>
        </w:rPr>
        <w:t>l</w:t>
      </w:r>
      <w:r w:rsidRPr="006E7534">
        <w:rPr>
          <w:rFonts w:asciiTheme="minorHAnsi" w:hAnsiTheme="minorHAnsi"/>
        </w:rPr>
        <w:t xml:space="preserve">eto </w:t>
      </w:r>
    </w:p>
    <w:p w:rsidR="00C04871" w:rsidRPr="006E7534" w:rsidRDefault="006E7534" w:rsidP="00C04871">
      <w:pPr>
        <w:pStyle w:val="vrstapredpisa"/>
        <w:numPr>
          <w:ilvl w:val="0"/>
          <w:numId w:val="2"/>
        </w:numPr>
        <w:spacing w:before="0" w:beforeAutospacing="0" w:after="0" w:afterAutospacing="0"/>
        <w:jc w:val="both"/>
        <w:rPr>
          <w:rFonts w:asciiTheme="minorHAnsi" w:hAnsiTheme="minorHAnsi"/>
        </w:rPr>
      </w:pPr>
      <w:r>
        <w:rPr>
          <w:rFonts w:asciiTheme="minorHAnsi" w:hAnsiTheme="minorHAnsi"/>
        </w:rPr>
        <w:t xml:space="preserve">Gaberje-2/12, </w:t>
      </w:r>
      <w:r w:rsidR="00C04871">
        <w:rPr>
          <w:rFonts w:asciiTheme="minorHAnsi" w:hAnsiTheme="minorHAnsi"/>
        </w:rPr>
        <w:t>v količini največ: 34,0 l/s oz. 946.080 m</w:t>
      </w:r>
      <w:r w:rsidR="00C04871" w:rsidRPr="006E7534">
        <w:rPr>
          <w:rFonts w:asciiTheme="minorHAnsi" w:hAnsiTheme="minorHAnsi"/>
          <w:vertAlign w:val="superscript"/>
        </w:rPr>
        <w:t>3</w:t>
      </w:r>
      <w:r w:rsidR="00C04871" w:rsidRPr="006E7534">
        <w:rPr>
          <w:rFonts w:asciiTheme="minorHAnsi" w:hAnsiTheme="minorHAnsi"/>
        </w:rPr>
        <w:t>/</w:t>
      </w:r>
      <w:r w:rsidR="00C04871">
        <w:rPr>
          <w:rFonts w:asciiTheme="minorHAnsi" w:hAnsiTheme="minorHAnsi"/>
        </w:rPr>
        <w:t>l</w:t>
      </w:r>
      <w:r w:rsidR="00C04871" w:rsidRPr="006E7534">
        <w:rPr>
          <w:rFonts w:asciiTheme="minorHAnsi" w:hAnsiTheme="minorHAnsi"/>
        </w:rPr>
        <w:t xml:space="preserve">eto </w:t>
      </w:r>
    </w:p>
    <w:p w:rsidR="00C04871" w:rsidRDefault="00C04871" w:rsidP="008A632F">
      <w:pPr>
        <w:pStyle w:val="vrstapredpisa"/>
        <w:spacing w:before="0" w:beforeAutospacing="0" w:after="0" w:afterAutospacing="0"/>
        <w:jc w:val="both"/>
        <w:rPr>
          <w:rFonts w:asciiTheme="minorHAnsi" w:hAnsiTheme="minorHAnsi"/>
        </w:rPr>
      </w:pPr>
    </w:p>
    <w:p w:rsidR="008A632F" w:rsidRDefault="008A632F" w:rsidP="006E7534">
      <w:pPr>
        <w:pStyle w:val="vrstapredpisa"/>
        <w:spacing w:before="0" w:beforeAutospacing="0" w:after="0" w:afterAutospacing="0"/>
        <w:jc w:val="both"/>
        <w:rPr>
          <w:rFonts w:asciiTheme="minorHAnsi" w:hAnsiTheme="minorHAnsi"/>
        </w:rPr>
      </w:pPr>
    </w:p>
    <w:p w:rsidR="008A632F" w:rsidRPr="00C261BC" w:rsidRDefault="00790A09" w:rsidP="006E7534">
      <w:pPr>
        <w:pStyle w:val="vrstapredpisa"/>
        <w:spacing w:before="0" w:beforeAutospacing="0" w:after="0" w:afterAutospacing="0"/>
        <w:jc w:val="both"/>
        <w:rPr>
          <w:rFonts w:asciiTheme="minorHAnsi" w:hAnsiTheme="minorHAnsi"/>
          <w:b/>
        </w:rPr>
      </w:pPr>
      <w:r w:rsidRPr="00C261BC">
        <w:rPr>
          <w:rFonts w:asciiTheme="minorHAnsi" w:hAnsiTheme="minorHAnsi"/>
          <w:b/>
        </w:rPr>
        <w:lastRenderedPageBreak/>
        <w:t>Izračun neizkoriščenih kapacitet iz naslova vodnih virov v dokumentu ne</w:t>
      </w:r>
      <w:r w:rsidR="00C261BC" w:rsidRPr="00C261BC">
        <w:rPr>
          <w:rFonts w:asciiTheme="minorHAnsi" w:hAnsiTheme="minorHAnsi"/>
          <w:b/>
        </w:rPr>
        <w:t xml:space="preserve"> </w:t>
      </w:r>
      <w:r w:rsidRPr="00C261BC">
        <w:rPr>
          <w:rFonts w:asciiTheme="minorHAnsi" w:hAnsiTheme="minorHAnsi"/>
          <w:b/>
        </w:rPr>
        <w:t>izkazujemo, ker občina v svojih poslovnih knjigah</w:t>
      </w:r>
      <w:r w:rsidR="00C261BC" w:rsidRPr="00C261BC">
        <w:rPr>
          <w:rFonts w:asciiTheme="minorHAnsi" w:hAnsiTheme="minorHAnsi"/>
          <w:b/>
        </w:rPr>
        <w:t xml:space="preserve"> na dan izračuna,</w:t>
      </w:r>
      <w:r w:rsidRPr="00C261BC">
        <w:rPr>
          <w:rFonts w:asciiTheme="minorHAnsi" w:hAnsiTheme="minorHAnsi"/>
          <w:b/>
        </w:rPr>
        <w:t xml:space="preserve"> ne izkazuje premoženja ter obračuna amortizaci</w:t>
      </w:r>
      <w:r w:rsidR="00C261BC" w:rsidRPr="00C261BC">
        <w:rPr>
          <w:rFonts w:asciiTheme="minorHAnsi" w:hAnsiTheme="minorHAnsi"/>
          <w:b/>
        </w:rPr>
        <w:t>je iz naslova solastništva v VV Gaberje in Turnišče.</w:t>
      </w:r>
    </w:p>
    <w:p w:rsidR="008A632F" w:rsidRDefault="008A632F" w:rsidP="006E7534">
      <w:pPr>
        <w:pStyle w:val="vrstapredpisa"/>
        <w:spacing w:before="0" w:beforeAutospacing="0" w:after="0" w:afterAutospacing="0"/>
        <w:jc w:val="both"/>
        <w:rPr>
          <w:rFonts w:asciiTheme="minorHAnsi" w:hAnsiTheme="minorHAnsi"/>
        </w:rPr>
      </w:pPr>
    </w:p>
    <w:p w:rsidR="006E7534" w:rsidRPr="006E7534" w:rsidRDefault="00233F67" w:rsidP="006E7534">
      <w:pPr>
        <w:pStyle w:val="vrstapredpisa"/>
        <w:numPr>
          <w:ilvl w:val="0"/>
          <w:numId w:val="1"/>
        </w:numPr>
        <w:spacing w:before="0" w:beforeAutospacing="0" w:after="0" w:afterAutospacing="0"/>
        <w:jc w:val="both"/>
        <w:rPr>
          <w:rFonts w:asciiTheme="minorHAnsi" w:hAnsiTheme="minorHAnsi"/>
          <w:b/>
        </w:rPr>
      </w:pPr>
      <w:r>
        <w:rPr>
          <w:rFonts w:asciiTheme="minorHAnsi" w:hAnsiTheme="minorHAnsi"/>
          <w:b/>
        </w:rPr>
        <w:t>Projektirana poraba</w:t>
      </w:r>
    </w:p>
    <w:p w:rsidR="006E7534" w:rsidRDefault="006E7534" w:rsidP="006E7534">
      <w:pPr>
        <w:pStyle w:val="Odstavekseznama"/>
        <w:spacing w:after="0" w:line="240" w:lineRule="auto"/>
        <w:ind w:left="0"/>
      </w:pPr>
    </w:p>
    <w:p w:rsidR="00B72A4C" w:rsidRPr="00B72A4C" w:rsidRDefault="00B72A4C" w:rsidP="00B72A4C">
      <w:pPr>
        <w:pStyle w:val="vrstapredpisa"/>
        <w:numPr>
          <w:ilvl w:val="1"/>
          <w:numId w:val="1"/>
        </w:numPr>
        <w:spacing w:before="0" w:beforeAutospacing="0" w:after="0" w:afterAutospacing="0"/>
        <w:jc w:val="both"/>
        <w:rPr>
          <w:rFonts w:asciiTheme="minorHAnsi" w:hAnsiTheme="minorHAnsi"/>
          <w:b/>
        </w:rPr>
      </w:pPr>
      <w:r w:rsidRPr="00B72A4C">
        <w:rPr>
          <w:rFonts w:asciiTheme="minorHAnsi" w:hAnsiTheme="minorHAnsi"/>
          <w:b/>
        </w:rPr>
        <w:t>Projektirane zmogljivosti</w:t>
      </w:r>
    </w:p>
    <w:p w:rsidR="00B72A4C" w:rsidRDefault="00B72A4C" w:rsidP="00B72A4C">
      <w:pPr>
        <w:pStyle w:val="vrstapredpisa"/>
        <w:spacing w:before="0" w:beforeAutospacing="0" w:after="0" w:afterAutospacing="0"/>
        <w:ind w:left="360"/>
        <w:jc w:val="both"/>
        <w:rPr>
          <w:rFonts w:asciiTheme="minorHAnsi" w:hAnsiTheme="minorHAnsi"/>
        </w:rPr>
      </w:pPr>
    </w:p>
    <w:p w:rsidR="00233F67" w:rsidRDefault="00233F67" w:rsidP="00233F67">
      <w:pPr>
        <w:spacing w:after="0" w:line="240" w:lineRule="auto"/>
        <w:jc w:val="both"/>
        <w:rPr>
          <w:rFonts w:ascii="Calibri" w:eastAsia="Calibri" w:hAnsi="Calibri" w:cs="Times New Roman"/>
          <w:sz w:val="24"/>
          <w:szCs w:val="24"/>
        </w:rPr>
      </w:pPr>
      <w:r w:rsidRPr="00233F67">
        <w:rPr>
          <w:rFonts w:ascii="Calibri" w:eastAsia="Calibri" w:hAnsi="Calibri" w:cs="Times New Roman"/>
          <w:sz w:val="24"/>
          <w:szCs w:val="24"/>
        </w:rPr>
        <w:t>V hidravličnih računih je bila privzeta predvidena poraba iz IDZ, ki je bila potrjena tudi s strani recenzentov. Po občinah je ta poraba sledeča</w:t>
      </w:r>
      <w:r w:rsidR="00B72A4C" w:rsidRPr="00B72A4C">
        <w:rPr>
          <w:rFonts w:ascii="Calibri" w:eastAsia="Calibri" w:hAnsi="Calibri" w:cs="Times New Roman"/>
          <w:i/>
          <w:sz w:val="24"/>
          <w:szCs w:val="24"/>
        </w:rPr>
        <w:t>(Hidravlična analiza variant vodovodnega sistema A</w:t>
      </w:r>
      <w:r w:rsidR="00B72A4C" w:rsidRPr="00B72A4C">
        <w:rPr>
          <w:i/>
          <w:sz w:val="24"/>
          <w:szCs w:val="24"/>
        </w:rPr>
        <w:t xml:space="preserve">, </w:t>
      </w:r>
      <w:r w:rsidR="00B72A4C" w:rsidRPr="00B72A4C">
        <w:rPr>
          <w:rFonts w:ascii="Calibri" w:eastAsia="Calibri" w:hAnsi="Calibri" w:cs="Times New Roman"/>
          <w:i/>
          <w:sz w:val="24"/>
          <w:szCs w:val="24"/>
        </w:rPr>
        <w:t>Študija</w:t>
      </w:r>
      <w:r w:rsidR="00B72A4C" w:rsidRPr="00B72A4C">
        <w:rPr>
          <w:i/>
          <w:sz w:val="24"/>
          <w:szCs w:val="24"/>
        </w:rPr>
        <w:t>, Vodnar d.o.o., 2011</w:t>
      </w:r>
      <w:r w:rsidR="00B72A4C">
        <w:rPr>
          <w:i/>
          <w:sz w:val="24"/>
          <w:szCs w:val="24"/>
        </w:rPr>
        <w:t>)</w:t>
      </w:r>
      <w:r w:rsidRPr="00233F67">
        <w:rPr>
          <w:rFonts w:ascii="Calibri" w:eastAsia="Calibri" w:hAnsi="Calibri" w:cs="Times New Roman"/>
          <w:sz w:val="24"/>
          <w:szCs w:val="24"/>
        </w:rPr>
        <w:t xml:space="preserve">: </w:t>
      </w:r>
    </w:p>
    <w:p w:rsidR="00E444AF" w:rsidRPr="00233F67" w:rsidRDefault="00E444AF" w:rsidP="00233F67">
      <w:pPr>
        <w:spacing w:after="0" w:line="240" w:lineRule="auto"/>
        <w:jc w:val="both"/>
        <w:rPr>
          <w:rFonts w:ascii="Calibri" w:eastAsia="Calibri" w:hAnsi="Calibri" w:cs="Times New Roman"/>
          <w:sz w:val="24"/>
          <w:szCs w:val="24"/>
        </w:rPr>
      </w:pPr>
    </w:p>
    <w:p w:rsidR="00233F67" w:rsidRPr="00233F67" w:rsidRDefault="00233F67" w:rsidP="00233F67">
      <w:pPr>
        <w:pStyle w:val="Brezrazmikov"/>
        <w:numPr>
          <w:ilvl w:val="0"/>
          <w:numId w:val="3"/>
        </w:numPr>
        <w:jc w:val="both"/>
        <w:rPr>
          <w:sz w:val="24"/>
          <w:szCs w:val="24"/>
        </w:rPr>
      </w:pPr>
      <w:r w:rsidRPr="00233F67">
        <w:rPr>
          <w:sz w:val="24"/>
          <w:szCs w:val="24"/>
        </w:rPr>
        <w:t>Lendava 54,3 l/s</w:t>
      </w:r>
    </w:p>
    <w:p w:rsidR="00233F67" w:rsidRPr="00233F67" w:rsidRDefault="00233F67" w:rsidP="00233F67">
      <w:pPr>
        <w:pStyle w:val="Brezrazmikov"/>
        <w:numPr>
          <w:ilvl w:val="0"/>
          <w:numId w:val="3"/>
        </w:numPr>
        <w:jc w:val="both"/>
        <w:rPr>
          <w:sz w:val="24"/>
          <w:szCs w:val="24"/>
        </w:rPr>
      </w:pPr>
      <w:r w:rsidRPr="00233F67">
        <w:rPr>
          <w:sz w:val="24"/>
          <w:szCs w:val="24"/>
        </w:rPr>
        <w:t>Kobilje 3,1 l/s</w:t>
      </w:r>
    </w:p>
    <w:p w:rsidR="00233F67" w:rsidRPr="00233F67" w:rsidRDefault="00233F67" w:rsidP="00233F67">
      <w:pPr>
        <w:pStyle w:val="Brezrazmikov"/>
        <w:numPr>
          <w:ilvl w:val="0"/>
          <w:numId w:val="3"/>
        </w:numPr>
        <w:jc w:val="both"/>
        <w:rPr>
          <w:sz w:val="24"/>
          <w:szCs w:val="24"/>
        </w:rPr>
      </w:pPr>
      <w:r w:rsidRPr="00233F67">
        <w:rPr>
          <w:sz w:val="24"/>
          <w:szCs w:val="24"/>
        </w:rPr>
        <w:t>Dobrovnik 5,6 l/s</w:t>
      </w:r>
    </w:p>
    <w:p w:rsidR="00233F67" w:rsidRPr="00233F67" w:rsidRDefault="00233F67" w:rsidP="00233F67">
      <w:pPr>
        <w:pStyle w:val="Brezrazmikov"/>
        <w:numPr>
          <w:ilvl w:val="0"/>
          <w:numId w:val="3"/>
        </w:numPr>
        <w:jc w:val="both"/>
        <w:rPr>
          <w:sz w:val="24"/>
          <w:szCs w:val="24"/>
        </w:rPr>
      </w:pPr>
      <w:r w:rsidRPr="00233F67">
        <w:rPr>
          <w:sz w:val="24"/>
          <w:szCs w:val="24"/>
        </w:rPr>
        <w:t>Turnišče 13,9 l/s</w:t>
      </w:r>
    </w:p>
    <w:p w:rsidR="00233F67" w:rsidRPr="00082557" w:rsidRDefault="00233F67" w:rsidP="00233F67">
      <w:pPr>
        <w:pStyle w:val="Brezrazmikov"/>
        <w:numPr>
          <w:ilvl w:val="0"/>
          <w:numId w:val="3"/>
        </w:numPr>
        <w:jc w:val="both"/>
        <w:rPr>
          <w:b/>
          <w:sz w:val="24"/>
          <w:szCs w:val="24"/>
        </w:rPr>
      </w:pPr>
      <w:r w:rsidRPr="00082557">
        <w:rPr>
          <w:b/>
          <w:sz w:val="24"/>
          <w:szCs w:val="24"/>
        </w:rPr>
        <w:t>Črenšovci 16,9 l/s</w:t>
      </w:r>
    </w:p>
    <w:p w:rsidR="00233F67" w:rsidRPr="00233F67" w:rsidRDefault="00233F67" w:rsidP="00233F67">
      <w:pPr>
        <w:pStyle w:val="Brezrazmikov"/>
        <w:numPr>
          <w:ilvl w:val="0"/>
          <w:numId w:val="3"/>
        </w:numPr>
        <w:jc w:val="both"/>
        <w:rPr>
          <w:sz w:val="24"/>
          <w:szCs w:val="24"/>
        </w:rPr>
      </w:pPr>
      <w:r w:rsidRPr="00233F67">
        <w:rPr>
          <w:sz w:val="24"/>
          <w:szCs w:val="24"/>
        </w:rPr>
        <w:t>Odranci 7,7 l/s</w:t>
      </w:r>
    </w:p>
    <w:p w:rsidR="00233F67" w:rsidRPr="00233F67" w:rsidRDefault="00233F67" w:rsidP="00233F67">
      <w:pPr>
        <w:pStyle w:val="Brezrazmikov"/>
        <w:numPr>
          <w:ilvl w:val="0"/>
          <w:numId w:val="3"/>
        </w:numPr>
        <w:jc w:val="both"/>
        <w:rPr>
          <w:sz w:val="24"/>
          <w:szCs w:val="24"/>
        </w:rPr>
      </w:pPr>
      <w:r w:rsidRPr="00233F67">
        <w:rPr>
          <w:sz w:val="24"/>
          <w:szCs w:val="24"/>
        </w:rPr>
        <w:t>Velika Polana 7,1 l/s</w:t>
      </w:r>
    </w:p>
    <w:p w:rsidR="00233F67" w:rsidRDefault="00233F67" w:rsidP="00233F67">
      <w:pPr>
        <w:pStyle w:val="Brezrazmikov"/>
        <w:jc w:val="both"/>
        <w:rPr>
          <w:sz w:val="24"/>
          <w:szCs w:val="24"/>
        </w:rPr>
      </w:pPr>
    </w:p>
    <w:p w:rsidR="00E444AF" w:rsidRPr="00233F67" w:rsidRDefault="00E444AF" w:rsidP="00233F67">
      <w:pPr>
        <w:pStyle w:val="Brezrazmikov"/>
        <w:jc w:val="both"/>
        <w:rPr>
          <w:sz w:val="24"/>
          <w:szCs w:val="24"/>
        </w:rPr>
      </w:pPr>
    </w:p>
    <w:p w:rsidR="00233F67" w:rsidRPr="00233F67" w:rsidRDefault="00233F67" w:rsidP="00233F67">
      <w:pPr>
        <w:pStyle w:val="Brezrazmikov"/>
        <w:jc w:val="both"/>
        <w:rPr>
          <w:sz w:val="24"/>
          <w:szCs w:val="24"/>
        </w:rPr>
      </w:pPr>
      <w:r w:rsidRPr="00233F67">
        <w:rPr>
          <w:sz w:val="24"/>
          <w:szCs w:val="24"/>
        </w:rPr>
        <w:t xml:space="preserve">Srednja predvidena potrošnja tekom kritičnega dne v letu tako </w:t>
      </w:r>
      <w:r w:rsidR="005207F8">
        <w:rPr>
          <w:sz w:val="24"/>
          <w:szCs w:val="24"/>
        </w:rPr>
        <w:t xml:space="preserve">za </w:t>
      </w:r>
      <w:r w:rsidR="00082557">
        <w:rPr>
          <w:sz w:val="24"/>
          <w:szCs w:val="24"/>
        </w:rPr>
        <w:t>območje Občine Črenšovci</w:t>
      </w:r>
      <w:r w:rsidR="00C261BC">
        <w:rPr>
          <w:sz w:val="24"/>
          <w:szCs w:val="24"/>
        </w:rPr>
        <w:t xml:space="preserve"> znaša</w:t>
      </w:r>
      <w:r w:rsidR="005207F8">
        <w:rPr>
          <w:sz w:val="24"/>
          <w:szCs w:val="24"/>
        </w:rPr>
        <w:t xml:space="preserve"> </w:t>
      </w:r>
      <w:r w:rsidR="00082557">
        <w:rPr>
          <w:sz w:val="24"/>
          <w:szCs w:val="24"/>
        </w:rPr>
        <w:t>16</w:t>
      </w:r>
      <w:r w:rsidR="00C261BC">
        <w:rPr>
          <w:sz w:val="24"/>
          <w:szCs w:val="24"/>
        </w:rPr>
        <w:t>,</w:t>
      </w:r>
      <w:r w:rsidR="00082557">
        <w:rPr>
          <w:sz w:val="24"/>
          <w:szCs w:val="24"/>
        </w:rPr>
        <w:t>9</w:t>
      </w:r>
      <w:r w:rsidR="0058392C">
        <w:rPr>
          <w:sz w:val="24"/>
          <w:szCs w:val="24"/>
        </w:rPr>
        <w:t xml:space="preserve"> l/s. </w:t>
      </w:r>
      <w:r w:rsidRPr="00233F67">
        <w:rPr>
          <w:sz w:val="24"/>
          <w:szCs w:val="24"/>
        </w:rPr>
        <w:t xml:space="preserve"> </w:t>
      </w:r>
    </w:p>
    <w:p w:rsidR="00233F67" w:rsidRDefault="00233F67" w:rsidP="00233F67">
      <w:pPr>
        <w:pStyle w:val="Odstavekseznama"/>
        <w:spacing w:after="0" w:line="240" w:lineRule="auto"/>
        <w:ind w:left="0"/>
      </w:pPr>
    </w:p>
    <w:p w:rsidR="00233F67" w:rsidRPr="00B72A4C" w:rsidRDefault="00233F67" w:rsidP="00233F67">
      <w:pPr>
        <w:jc w:val="both"/>
        <w:rPr>
          <w:rFonts w:ascii="Calibri" w:eastAsia="Calibri" w:hAnsi="Calibri" w:cs="Times New Roman"/>
          <w:i/>
          <w:sz w:val="24"/>
          <w:szCs w:val="24"/>
        </w:rPr>
      </w:pPr>
      <w:r w:rsidRPr="00233F67">
        <w:rPr>
          <w:rFonts w:ascii="Calibri" w:eastAsia="Calibri" w:hAnsi="Calibri" w:cs="Times New Roman"/>
          <w:sz w:val="24"/>
          <w:szCs w:val="24"/>
        </w:rPr>
        <w:t>Pri izdelavni hidravličnih računov smo upoštevali zahteve, da tlak v omrežju ne pade pod 2,5 bara in ne prekorači 6 barov</w:t>
      </w:r>
      <w:r w:rsidRPr="00233F67">
        <w:rPr>
          <w:sz w:val="24"/>
          <w:szCs w:val="24"/>
        </w:rPr>
        <w:t xml:space="preserve">. </w:t>
      </w:r>
      <w:r w:rsidRPr="00233F67">
        <w:rPr>
          <w:rFonts w:ascii="Calibri" w:eastAsia="Calibri" w:hAnsi="Calibri" w:cs="Times New Roman"/>
          <w:sz w:val="24"/>
          <w:szCs w:val="24"/>
        </w:rPr>
        <w:t xml:space="preserve">Cevi so dimenzionirane na osnovi zahteve, da je v času </w:t>
      </w:r>
      <w:r w:rsidR="00C261BC">
        <w:rPr>
          <w:rFonts w:ascii="Calibri" w:eastAsia="Calibri" w:hAnsi="Calibri" w:cs="Times New Roman"/>
          <w:sz w:val="24"/>
          <w:szCs w:val="24"/>
        </w:rPr>
        <w:t>o</w:t>
      </w:r>
      <w:r w:rsidRPr="00233F67">
        <w:rPr>
          <w:rFonts w:ascii="Calibri" w:eastAsia="Calibri" w:hAnsi="Calibri" w:cs="Times New Roman"/>
          <w:sz w:val="24"/>
          <w:szCs w:val="24"/>
        </w:rPr>
        <w:t>sr</w:t>
      </w:r>
      <w:r w:rsidR="00C261BC">
        <w:rPr>
          <w:rFonts w:ascii="Calibri" w:eastAsia="Calibri" w:hAnsi="Calibri" w:cs="Times New Roman"/>
          <w:sz w:val="24"/>
          <w:szCs w:val="24"/>
        </w:rPr>
        <w:t>.</w:t>
      </w:r>
      <w:r w:rsidRPr="00233F67">
        <w:rPr>
          <w:rFonts w:ascii="Calibri" w:eastAsia="Calibri" w:hAnsi="Calibri" w:cs="Times New Roman"/>
          <w:sz w:val="24"/>
          <w:szCs w:val="24"/>
        </w:rPr>
        <w:t xml:space="preserve"> porabe v njih dosežena ekonomska hitrost. </w:t>
      </w:r>
      <w:r w:rsidRPr="00B72A4C">
        <w:rPr>
          <w:rFonts w:ascii="Calibri" w:eastAsia="Calibri" w:hAnsi="Calibri" w:cs="Times New Roman"/>
          <w:i/>
          <w:sz w:val="24"/>
          <w:szCs w:val="24"/>
        </w:rPr>
        <w:t>(Hidravlična analiza variant vodovodnega sistema A</w:t>
      </w:r>
      <w:r w:rsidRPr="00B72A4C">
        <w:rPr>
          <w:i/>
          <w:sz w:val="24"/>
          <w:szCs w:val="24"/>
        </w:rPr>
        <w:t xml:space="preserve">, </w:t>
      </w:r>
      <w:r w:rsidRPr="00B72A4C">
        <w:rPr>
          <w:rFonts w:ascii="Calibri" w:eastAsia="Calibri" w:hAnsi="Calibri" w:cs="Times New Roman"/>
          <w:i/>
          <w:sz w:val="24"/>
          <w:szCs w:val="24"/>
        </w:rPr>
        <w:t>Študija</w:t>
      </w:r>
      <w:r w:rsidRPr="00B72A4C">
        <w:rPr>
          <w:i/>
          <w:sz w:val="24"/>
          <w:szCs w:val="24"/>
        </w:rPr>
        <w:t xml:space="preserve">, Vodnar d.o.o., 2011). </w:t>
      </w:r>
    </w:p>
    <w:p w:rsidR="00233F67" w:rsidRPr="00B72A4C" w:rsidRDefault="00233F67" w:rsidP="00B72A4C">
      <w:pPr>
        <w:autoSpaceDE w:val="0"/>
        <w:autoSpaceDN w:val="0"/>
        <w:adjustRightInd w:val="0"/>
        <w:spacing w:after="0" w:line="240" w:lineRule="auto"/>
        <w:jc w:val="both"/>
      </w:pPr>
      <w:r w:rsidRPr="00B72A4C">
        <w:rPr>
          <w:rFonts w:cs="Cambria"/>
          <w:sz w:val="24"/>
          <w:szCs w:val="24"/>
        </w:rPr>
        <w:t>Poraba vode na kritični dan v projektnem končnem letu 2065</w:t>
      </w:r>
      <w:r w:rsidR="00B72A4C" w:rsidRPr="00B72A4C">
        <w:rPr>
          <w:rFonts w:cs="Cambria"/>
          <w:sz w:val="24"/>
          <w:szCs w:val="24"/>
        </w:rPr>
        <w:t xml:space="preserve"> znaša: 109,7 l/s, brez upoštevanja požara. </w:t>
      </w:r>
      <w:r w:rsidR="00B72A4C" w:rsidRPr="00B72A4C">
        <w:rPr>
          <w:rFonts w:cs="Cambria,Bold"/>
          <w:bCs/>
          <w:sz w:val="24"/>
          <w:szCs w:val="24"/>
        </w:rPr>
        <w:t xml:space="preserve">Skupaj potrebna načrpana voda na kritični dan </w:t>
      </w:r>
      <w:r w:rsidR="00B72A4C" w:rsidRPr="00B72A4C">
        <w:rPr>
          <w:rFonts w:cs="Cambria"/>
          <w:sz w:val="24"/>
          <w:szCs w:val="24"/>
        </w:rPr>
        <w:t xml:space="preserve">z upoštevanjem požarne varnosti </w:t>
      </w:r>
      <w:r w:rsidR="00B72A4C" w:rsidRPr="00B72A4C">
        <w:rPr>
          <w:rFonts w:cs="Cambria,Bold"/>
          <w:bCs/>
          <w:sz w:val="24"/>
          <w:szCs w:val="24"/>
        </w:rPr>
        <w:t xml:space="preserve">pa </w:t>
      </w:r>
      <w:r w:rsidR="00B72A4C">
        <w:rPr>
          <w:rFonts w:cs="Cambria,Bold"/>
          <w:bCs/>
          <w:sz w:val="24"/>
          <w:szCs w:val="24"/>
        </w:rPr>
        <w:t>znaša</w:t>
      </w:r>
      <w:r w:rsidR="00B72A4C" w:rsidRPr="00B72A4C">
        <w:rPr>
          <w:rFonts w:cs="Cambria,Bold"/>
          <w:bCs/>
          <w:sz w:val="24"/>
          <w:szCs w:val="24"/>
        </w:rPr>
        <w:t xml:space="preserve"> 112,5 l/s</w:t>
      </w:r>
      <w:r w:rsidR="00B72A4C" w:rsidRPr="00B72A4C">
        <w:rPr>
          <w:rFonts w:cs="Cambria"/>
          <w:sz w:val="24"/>
          <w:szCs w:val="24"/>
        </w:rPr>
        <w:t xml:space="preserve">, </w:t>
      </w:r>
      <w:r w:rsidR="00B72A4C" w:rsidRPr="00B72A4C">
        <w:rPr>
          <w:rFonts w:cs="Cambria"/>
          <w:i/>
          <w:sz w:val="24"/>
          <w:szCs w:val="24"/>
        </w:rPr>
        <w:t>(Elaborat</w:t>
      </w:r>
      <w:r w:rsidR="00B72A4C" w:rsidRPr="00B72A4C">
        <w:rPr>
          <w:rFonts w:cs="Arial"/>
          <w:bCs/>
          <w:i/>
          <w:sz w:val="24"/>
          <w:szCs w:val="24"/>
        </w:rPr>
        <w:t xml:space="preserve"> Izdelava koncepta oskrbe prebivalstva s pitno vodo za sistem A,</w:t>
      </w:r>
      <w:r w:rsidR="00B72A4C" w:rsidRPr="00B72A4C">
        <w:rPr>
          <w:rFonts w:cs="Cambria"/>
          <w:i/>
          <w:sz w:val="24"/>
          <w:szCs w:val="24"/>
        </w:rPr>
        <w:t xml:space="preserve"> Lineal d.o.o., 2012).</w:t>
      </w:r>
      <w:r w:rsidR="00B72A4C" w:rsidRPr="00B72A4C">
        <w:rPr>
          <w:rFonts w:cs="Cambria"/>
          <w:sz w:val="24"/>
          <w:szCs w:val="24"/>
        </w:rPr>
        <w:t xml:space="preserve"> </w:t>
      </w:r>
    </w:p>
    <w:p w:rsidR="00233F67" w:rsidRDefault="00233F67" w:rsidP="006E7534">
      <w:pPr>
        <w:pStyle w:val="Odstavekseznama"/>
        <w:spacing w:after="0" w:line="240" w:lineRule="auto"/>
        <w:ind w:left="0"/>
      </w:pPr>
    </w:p>
    <w:p w:rsidR="005207F8" w:rsidRDefault="005207F8" w:rsidP="006E7534">
      <w:pPr>
        <w:pStyle w:val="Odstavekseznama"/>
        <w:spacing w:after="0" w:line="240" w:lineRule="auto"/>
        <w:ind w:left="0"/>
      </w:pPr>
    </w:p>
    <w:p w:rsidR="00812B93" w:rsidRPr="0058392C" w:rsidRDefault="00812B93" w:rsidP="00812B93">
      <w:pPr>
        <w:pStyle w:val="vrstapredpisa"/>
        <w:numPr>
          <w:ilvl w:val="1"/>
          <w:numId w:val="1"/>
        </w:numPr>
        <w:spacing w:before="0" w:beforeAutospacing="0" w:after="0" w:afterAutospacing="0"/>
        <w:jc w:val="both"/>
        <w:rPr>
          <w:rFonts w:asciiTheme="minorHAnsi" w:hAnsiTheme="minorHAnsi"/>
          <w:b/>
        </w:rPr>
      </w:pPr>
      <w:bookmarkStart w:id="0" w:name="_GoBack"/>
      <w:bookmarkEnd w:id="0"/>
      <w:r w:rsidRPr="0058392C">
        <w:rPr>
          <w:rFonts w:asciiTheme="minorHAnsi" w:hAnsiTheme="minorHAnsi"/>
          <w:b/>
        </w:rPr>
        <w:t xml:space="preserve">Izkoriščene zmogljivosti v letu </w:t>
      </w:r>
      <w:r w:rsidR="0058392C" w:rsidRPr="0058392C">
        <w:rPr>
          <w:rFonts w:asciiTheme="minorHAnsi" w:hAnsiTheme="minorHAnsi"/>
          <w:b/>
        </w:rPr>
        <w:t>2017 – do 3</w:t>
      </w:r>
      <w:r w:rsidR="00C261BC">
        <w:rPr>
          <w:rFonts w:asciiTheme="minorHAnsi" w:hAnsiTheme="minorHAnsi"/>
          <w:b/>
        </w:rPr>
        <w:t>1</w:t>
      </w:r>
      <w:r w:rsidR="0058392C" w:rsidRPr="0058392C">
        <w:rPr>
          <w:rFonts w:asciiTheme="minorHAnsi" w:hAnsiTheme="minorHAnsi"/>
          <w:b/>
        </w:rPr>
        <w:t>.</w:t>
      </w:r>
      <w:r w:rsidR="00082557">
        <w:rPr>
          <w:rFonts w:asciiTheme="minorHAnsi" w:hAnsiTheme="minorHAnsi"/>
          <w:b/>
        </w:rPr>
        <w:t>10</w:t>
      </w:r>
      <w:r w:rsidR="0058392C" w:rsidRPr="0058392C">
        <w:rPr>
          <w:rFonts w:asciiTheme="minorHAnsi" w:hAnsiTheme="minorHAnsi"/>
          <w:b/>
        </w:rPr>
        <w:t>.2017</w:t>
      </w:r>
    </w:p>
    <w:p w:rsidR="006E7534" w:rsidRDefault="006E7534" w:rsidP="006E7534">
      <w:pPr>
        <w:pStyle w:val="vrstapredpisa"/>
        <w:spacing w:before="0" w:beforeAutospacing="0" w:after="0" w:afterAutospacing="0"/>
        <w:jc w:val="both"/>
        <w:rPr>
          <w:rFonts w:asciiTheme="minorHAnsi" w:hAnsiTheme="minorHAnsi"/>
        </w:rPr>
      </w:pPr>
    </w:p>
    <w:p w:rsidR="006E7534" w:rsidRDefault="00B72A4C" w:rsidP="006E7534">
      <w:pPr>
        <w:pStyle w:val="vrstapredpisa"/>
        <w:spacing w:before="0" w:beforeAutospacing="0" w:after="0" w:afterAutospacing="0"/>
        <w:jc w:val="both"/>
        <w:rPr>
          <w:rFonts w:asciiTheme="minorHAnsi" w:hAnsiTheme="minorHAnsi"/>
        </w:rPr>
      </w:pPr>
      <w:r>
        <w:rPr>
          <w:rFonts w:asciiTheme="minorHAnsi" w:hAnsiTheme="minorHAnsi"/>
        </w:rPr>
        <w:t xml:space="preserve">Dobavljene količine pitne vode </w:t>
      </w:r>
      <w:r w:rsidR="00082557">
        <w:rPr>
          <w:rFonts w:asciiTheme="minorHAnsi" w:hAnsiTheme="minorHAnsi"/>
        </w:rPr>
        <w:t>v Občini Črenšovci</w:t>
      </w:r>
      <w:r w:rsidR="007D159D">
        <w:rPr>
          <w:rFonts w:asciiTheme="minorHAnsi" w:hAnsiTheme="minorHAnsi"/>
        </w:rPr>
        <w:t xml:space="preserve"> </w:t>
      </w:r>
      <w:r>
        <w:rPr>
          <w:rFonts w:asciiTheme="minorHAnsi" w:hAnsiTheme="minorHAnsi"/>
        </w:rPr>
        <w:t xml:space="preserve">v letu </w:t>
      </w:r>
      <w:r w:rsidR="00B7008A">
        <w:rPr>
          <w:rFonts w:asciiTheme="minorHAnsi" w:hAnsiTheme="minorHAnsi"/>
        </w:rPr>
        <w:t>2017</w:t>
      </w:r>
    </w:p>
    <w:tbl>
      <w:tblPr>
        <w:tblW w:w="7812" w:type="dxa"/>
        <w:tblInd w:w="55" w:type="dxa"/>
        <w:tblCellMar>
          <w:left w:w="70" w:type="dxa"/>
          <w:right w:w="70" w:type="dxa"/>
        </w:tblCellMar>
        <w:tblLook w:val="04A0" w:firstRow="1" w:lastRow="0" w:firstColumn="1" w:lastColumn="0" w:noHBand="0" w:noVBand="1"/>
      </w:tblPr>
      <w:tblGrid>
        <w:gridCol w:w="5260"/>
        <w:gridCol w:w="2552"/>
      </w:tblGrid>
      <w:tr w:rsidR="007D159D" w:rsidRPr="007D159D" w:rsidTr="0053354B">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7D159D" w:rsidRPr="007D159D" w:rsidRDefault="007D159D" w:rsidP="007D159D">
            <w:pPr>
              <w:spacing w:after="0" w:line="240" w:lineRule="auto"/>
              <w:rPr>
                <w:rFonts w:ascii="Calibri" w:eastAsia="Times New Roman" w:hAnsi="Calibri" w:cs="Times New Roman"/>
                <w:b/>
                <w:bCs/>
                <w:color w:val="000000"/>
              </w:rPr>
            </w:pPr>
            <w:r w:rsidRPr="007D159D">
              <w:rPr>
                <w:rFonts w:ascii="Calibri" w:eastAsia="Times New Roman" w:hAnsi="Calibri" w:cs="Times New Roman"/>
                <w:b/>
                <w:bCs/>
                <w:color w:val="000000"/>
              </w:rPr>
              <w:t>Občina</w:t>
            </w:r>
          </w:p>
        </w:tc>
        <w:tc>
          <w:tcPr>
            <w:tcW w:w="2552" w:type="dxa"/>
            <w:tcBorders>
              <w:top w:val="single" w:sz="4" w:space="0" w:color="auto"/>
              <w:left w:val="nil"/>
              <w:bottom w:val="single" w:sz="4" w:space="0" w:color="auto"/>
              <w:right w:val="single" w:sz="4" w:space="0" w:color="auto"/>
            </w:tcBorders>
            <w:shd w:val="clear" w:color="000000" w:fill="B6DDE8"/>
            <w:noWrap/>
            <w:vAlign w:val="bottom"/>
            <w:hideMark/>
          </w:tcPr>
          <w:p w:rsidR="007D159D" w:rsidRPr="007D159D" w:rsidRDefault="007D159D" w:rsidP="00082557">
            <w:pPr>
              <w:spacing w:after="0" w:line="240" w:lineRule="auto"/>
              <w:jc w:val="right"/>
              <w:rPr>
                <w:rFonts w:ascii="Calibri" w:eastAsia="Times New Roman" w:hAnsi="Calibri" w:cs="Times New Roman"/>
                <w:b/>
                <w:bCs/>
                <w:color w:val="000000"/>
              </w:rPr>
            </w:pPr>
            <w:r w:rsidRPr="007D159D">
              <w:rPr>
                <w:rFonts w:ascii="Calibri" w:eastAsia="Times New Roman" w:hAnsi="Calibri" w:cs="Times New Roman"/>
                <w:b/>
                <w:bCs/>
                <w:color w:val="000000"/>
              </w:rPr>
              <w:t>Poraba 201</w:t>
            </w:r>
            <w:r w:rsidR="0058392C">
              <w:rPr>
                <w:rFonts w:ascii="Calibri" w:eastAsia="Times New Roman" w:hAnsi="Calibri" w:cs="Times New Roman"/>
                <w:b/>
                <w:bCs/>
                <w:color w:val="000000"/>
              </w:rPr>
              <w:t>7 do 3</w:t>
            </w:r>
            <w:r w:rsidR="00B7008A">
              <w:rPr>
                <w:rFonts w:ascii="Calibri" w:eastAsia="Times New Roman" w:hAnsi="Calibri" w:cs="Times New Roman"/>
                <w:b/>
                <w:bCs/>
                <w:color w:val="000000"/>
              </w:rPr>
              <w:t>1</w:t>
            </w:r>
            <w:r w:rsidR="0058392C">
              <w:rPr>
                <w:rFonts w:ascii="Calibri" w:eastAsia="Times New Roman" w:hAnsi="Calibri" w:cs="Times New Roman"/>
                <w:b/>
                <w:bCs/>
                <w:color w:val="000000"/>
              </w:rPr>
              <w:t>.</w:t>
            </w:r>
            <w:r w:rsidR="00082557">
              <w:rPr>
                <w:rFonts w:ascii="Calibri" w:eastAsia="Times New Roman" w:hAnsi="Calibri" w:cs="Times New Roman"/>
                <w:b/>
                <w:bCs/>
                <w:color w:val="000000"/>
              </w:rPr>
              <w:t>10</w:t>
            </w:r>
          </w:p>
        </w:tc>
      </w:tr>
      <w:tr w:rsidR="007D159D" w:rsidRPr="007D159D" w:rsidTr="0053354B">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7D159D" w:rsidRPr="007D159D" w:rsidRDefault="00B7008A" w:rsidP="007D159D">
            <w:pPr>
              <w:spacing w:after="0" w:line="240" w:lineRule="auto"/>
              <w:rPr>
                <w:rFonts w:ascii="Calibri" w:eastAsia="Times New Roman" w:hAnsi="Calibri" w:cs="Times New Roman"/>
                <w:color w:val="000000"/>
              </w:rPr>
            </w:pPr>
            <w:r>
              <w:rPr>
                <w:rFonts w:ascii="Calibri" w:eastAsia="Times New Roman" w:hAnsi="Calibri" w:cs="Times New Roman"/>
                <w:color w:val="000000"/>
              </w:rPr>
              <w:t>GJS</w:t>
            </w:r>
          </w:p>
        </w:tc>
        <w:tc>
          <w:tcPr>
            <w:tcW w:w="2552" w:type="dxa"/>
            <w:tcBorders>
              <w:top w:val="nil"/>
              <w:left w:val="nil"/>
              <w:bottom w:val="single" w:sz="4" w:space="0" w:color="auto"/>
              <w:right w:val="single" w:sz="4" w:space="0" w:color="auto"/>
            </w:tcBorders>
            <w:shd w:val="clear" w:color="auto" w:fill="auto"/>
            <w:noWrap/>
            <w:vAlign w:val="bottom"/>
            <w:hideMark/>
          </w:tcPr>
          <w:p w:rsidR="007D159D" w:rsidRPr="007D159D" w:rsidRDefault="00082557" w:rsidP="007D15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160.621</w:t>
            </w:r>
          </w:p>
        </w:tc>
      </w:tr>
      <w:tr w:rsidR="007D159D" w:rsidRPr="007D159D" w:rsidTr="0053354B">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7D159D" w:rsidRPr="007D159D" w:rsidRDefault="00B7008A" w:rsidP="007D159D">
            <w:pPr>
              <w:spacing w:after="0" w:line="240" w:lineRule="auto"/>
              <w:rPr>
                <w:rFonts w:ascii="Calibri" w:eastAsia="Times New Roman" w:hAnsi="Calibri" w:cs="Times New Roman"/>
                <w:color w:val="000000"/>
              </w:rPr>
            </w:pPr>
            <w:r>
              <w:rPr>
                <w:rFonts w:ascii="Calibri" w:eastAsia="Times New Roman" w:hAnsi="Calibri" w:cs="Times New Roman"/>
                <w:color w:val="000000"/>
              </w:rPr>
              <w:t>Gospodarstvo GJS</w:t>
            </w:r>
          </w:p>
        </w:tc>
        <w:tc>
          <w:tcPr>
            <w:tcW w:w="2552" w:type="dxa"/>
            <w:tcBorders>
              <w:top w:val="nil"/>
              <w:left w:val="nil"/>
              <w:bottom w:val="single" w:sz="4" w:space="0" w:color="auto"/>
              <w:right w:val="single" w:sz="4" w:space="0" w:color="auto"/>
            </w:tcBorders>
            <w:shd w:val="clear" w:color="auto" w:fill="auto"/>
            <w:noWrap/>
            <w:vAlign w:val="bottom"/>
            <w:hideMark/>
          </w:tcPr>
          <w:p w:rsidR="007D159D" w:rsidRPr="007D159D" w:rsidRDefault="00082557" w:rsidP="007D15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p>
        </w:tc>
      </w:tr>
      <w:tr w:rsidR="007D159D" w:rsidRPr="007D159D" w:rsidTr="0053354B">
        <w:trPr>
          <w:trHeight w:val="300"/>
        </w:trPr>
        <w:tc>
          <w:tcPr>
            <w:tcW w:w="5260" w:type="dxa"/>
            <w:tcBorders>
              <w:top w:val="nil"/>
              <w:left w:val="single" w:sz="4" w:space="0" w:color="auto"/>
              <w:bottom w:val="single" w:sz="4" w:space="0" w:color="auto"/>
              <w:right w:val="single" w:sz="4" w:space="0" w:color="auto"/>
            </w:tcBorders>
            <w:shd w:val="clear" w:color="000000" w:fill="B6DDE8"/>
            <w:noWrap/>
            <w:vAlign w:val="bottom"/>
            <w:hideMark/>
          </w:tcPr>
          <w:p w:rsidR="007D159D" w:rsidRPr="001A0448" w:rsidRDefault="001A0448" w:rsidP="00B7008A">
            <w:pPr>
              <w:spacing w:after="0" w:line="240" w:lineRule="auto"/>
              <w:rPr>
                <w:rFonts w:ascii="Calibri" w:eastAsia="Times New Roman" w:hAnsi="Calibri" w:cs="Times New Roman"/>
                <w:b/>
                <w:bCs/>
              </w:rPr>
            </w:pPr>
            <w:r w:rsidRPr="001A0448">
              <w:rPr>
                <w:rFonts w:ascii="Calibri" w:eastAsia="Times New Roman" w:hAnsi="Calibri" w:cs="Times New Roman"/>
                <w:b/>
                <w:bCs/>
              </w:rPr>
              <w:t>SKUPAJ PORABA 2017 do 3</w:t>
            </w:r>
            <w:r w:rsidR="00B7008A">
              <w:rPr>
                <w:rFonts w:ascii="Calibri" w:eastAsia="Times New Roman" w:hAnsi="Calibri" w:cs="Times New Roman"/>
                <w:b/>
                <w:bCs/>
              </w:rPr>
              <w:t>1</w:t>
            </w:r>
            <w:r w:rsidRPr="001A0448">
              <w:rPr>
                <w:rFonts w:ascii="Calibri" w:eastAsia="Times New Roman" w:hAnsi="Calibri" w:cs="Times New Roman"/>
                <w:b/>
                <w:bCs/>
              </w:rPr>
              <w:t>.</w:t>
            </w:r>
            <w:r w:rsidR="00082557">
              <w:rPr>
                <w:rFonts w:ascii="Calibri" w:eastAsia="Times New Roman" w:hAnsi="Calibri" w:cs="Times New Roman"/>
                <w:b/>
                <w:bCs/>
              </w:rPr>
              <w:t>10</w:t>
            </w:r>
          </w:p>
        </w:tc>
        <w:tc>
          <w:tcPr>
            <w:tcW w:w="2552" w:type="dxa"/>
            <w:tcBorders>
              <w:top w:val="nil"/>
              <w:left w:val="nil"/>
              <w:bottom w:val="single" w:sz="4" w:space="0" w:color="auto"/>
              <w:right w:val="single" w:sz="4" w:space="0" w:color="auto"/>
            </w:tcBorders>
            <w:shd w:val="clear" w:color="000000" w:fill="B6DDE8"/>
            <w:noWrap/>
            <w:vAlign w:val="bottom"/>
            <w:hideMark/>
          </w:tcPr>
          <w:p w:rsidR="007D159D" w:rsidRPr="007D159D" w:rsidRDefault="00082557" w:rsidP="007D159D">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160.621</w:t>
            </w:r>
          </w:p>
        </w:tc>
      </w:tr>
    </w:tbl>
    <w:p w:rsidR="00B72A4C" w:rsidRDefault="00B72A4C" w:rsidP="006E7534">
      <w:pPr>
        <w:pStyle w:val="vrstapredpisa"/>
        <w:spacing w:before="0" w:beforeAutospacing="0" w:after="0" w:afterAutospacing="0"/>
        <w:jc w:val="both"/>
        <w:rPr>
          <w:rFonts w:asciiTheme="minorHAnsi" w:hAnsiTheme="minorHAnsi"/>
        </w:rPr>
      </w:pPr>
    </w:p>
    <w:p w:rsidR="00082557" w:rsidRDefault="00082557" w:rsidP="006E7534">
      <w:pPr>
        <w:pStyle w:val="vrstapredpisa"/>
        <w:spacing w:before="0" w:beforeAutospacing="0" w:after="0" w:afterAutospacing="0"/>
        <w:jc w:val="both"/>
        <w:rPr>
          <w:rFonts w:asciiTheme="minorHAnsi" w:hAnsiTheme="minorHAnsi"/>
        </w:rPr>
      </w:pPr>
    </w:p>
    <w:p w:rsidR="007D159D" w:rsidRDefault="007D159D" w:rsidP="006E7534">
      <w:pPr>
        <w:pStyle w:val="vrstapredpisa"/>
        <w:spacing w:before="0" w:beforeAutospacing="0" w:after="0" w:afterAutospacing="0"/>
        <w:jc w:val="both"/>
        <w:rPr>
          <w:rFonts w:asciiTheme="minorHAnsi" w:hAnsiTheme="minorHAnsi"/>
        </w:rPr>
      </w:pPr>
      <w:r>
        <w:rPr>
          <w:rFonts w:asciiTheme="minorHAnsi" w:hAnsiTheme="minorHAnsi"/>
        </w:rPr>
        <w:t>Izračun izkoriščenosti zmogljivosti omrežja</w:t>
      </w:r>
    </w:p>
    <w:tbl>
      <w:tblPr>
        <w:tblW w:w="5000" w:type="pct"/>
        <w:tblCellMar>
          <w:left w:w="70" w:type="dxa"/>
          <w:right w:w="70" w:type="dxa"/>
        </w:tblCellMar>
        <w:tblLook w:val="04A0" w:firstRow="1" w:lastRow="0" w:firstColumn="1" w:lastColumn="0" w:noHBand="0" w:noVBand="1"/>
      </w:tblPr>
      <w:tblGrid>
        <w:gridCol w:w="2763"/>
        <w:gridCol w:w="1418"/>
        <w:gridCol w:w="1270"/>
        <w:gridCol w:w="1270"/>
        <w:gridCol w:w="1150"/>
        <w:gridCol w:w="1341"/>
      </w:tblGrid>
      <w:tr w:rsidR="007D159D" w:rsidRPr="007D159D" w:rsidTr="00EB1977">
        <w:trPr>
          <w:trHeight w:val="900"/>
        </w:trPr>
        <w:tc>
          <w:tcPr>
            <w:tcW w:w="1500" w:type="pct"/>
            <w:tcBorders>
              <w:top w:val="single" w:sz="4" w:space="0" w:color="auto"/>
              <w:left w:val="single" w:sz="4" w:space="0" w:color="auto"/>
              <w:bottom w:val="single" w:sz="4" w:space="0" w:color="auto"/>
              <w:right w:val="single" w:sz="4" w:space="0" w:color="auto"/>
            </w:tcBorders>
            <w:shd w:val="clear" w:color="000000" w:fill="B6DDE8"/>
            <w:vAlign w:val="center"/>
            <w:hideMark/>
          </w:tcPr>
          <w:p w:rsidR="007D159D" w:rsidRPr="007D159D" w:rsidRDefault="007D159D" w:rsidP="007D159D">
            <w:pPr>
              <w:spacing w:after="0" w:line="240" w:lineRule="auto"/>
              <w:jc w:val="center"/>
              <w:rPr>
                <w:rFonts w:ascii="Calibri" w:eastAsia="Times New Roman" w:hAnsi="Calibri" w:cs="Times New Roman"/>
                <w:b/>
                <w:bCs/>
                <w:color w:val="000000"/>
              </w:rPr>
            </w:pPr>
            <w:r w:rsidRPr="007D159D">
              <w:rPr>
                <w:rFonts w:ascii="Calibri" w:eastAsia="Times New Roman" w:hAnsi="Calibri" w:cs="Times New Roman"/>
                <w:b/>
                <w:bCs/>
                <w:color w:val="000000"/>
              </w:rPr>
              <w:lastRenderedPageBreak/>
              <w:t>Občina</w:t>
            </w:r>
          </w:p>
        </w:tc>
        <w:tc>
          <w:tcPr>
            <w:tcW w:w="770" w:type="pct"/>
            <w:tcBorders>
              <w:top w:val="single" w:sz="4" w:space="0" w:color="auto"/>
              <w:left w:val="nil"/>
              <w:bottom w:val="single" w:sz="4" w:space="0" w:color="auto"/>
              <w:right w:val="single" w:sz="4" w:space="0" w:color="auto"/>
            </w:tcBorders>
            <w:shd w:val="clear" w:color="000000" w:fill="B6DDE8"/>
            <w:vAlign w:val="center"/>
            <w:hideMark/>
          </w:tcPr>
          <w:p w:rsidR="007D159D" w:rsidRPr="001A0448" w:rsidRDefault="001A0448" w:rsidP="00B7008A">
            <w:pPr>
              <w:spacing w:after="0" w:line="240" w:lineRule="auto"/>
              <w:jc w:val="center"/>
              <w:rPr>
                <w:rFonts w:ascii="Calibri" w:eastAsia="Times New Roman" w:hAnsi="Calibri" w:cs="Times New Roman"/>
                <w:b/>
                <w:bCs/>
              </w:rPr>
            </w:pPr>
            <w:r w:rsidRPr="001A0448">
              <w:rPr>
                <w:rFonts w:ascii="Calibri" w:eastAsia="Times New Roman" w:hAnsi="Calibri" w:cs="Times New Roman"/>
                <w:b/>
                <w:bCs/>
              </w:rPr>
              <w:t>Poraba 2017 do 3</w:t>
            </w:r>
            <w:r w:rsidR="00B7008A">
              <w:rPr>
                <w:rFonts w:ascii="Calibri" w:eastAsia="Times New Roman" w:hAnsi="Calibri" w:cs="Times New Roman"/>
                <w:b/>
                <w:bCs/>
              </w:rPr>
              <w:t>1</w:t>
            </w:r>
            <w:r w:rsidR="00082557">
              <w:rPr>
                <w:rFonts w:ascii="Calibri" w:eastAsia="Times New Roman" w:hAnsi="Calibri" w:cs="Times New Roman"/>
                <w:b/>
                <w:bCs/>
              </w:rPr>
              <w:t>.10</w:t>
            </w:r>
          </w:p>
        </w:tc>
        <w:tc>
          <w:tcPr>
            <w:tcW w:w="689" w:type="pct"/>
            <w:tcBorders>
              <w:top w:val="single" w:sz="4" w:space="0" w:color="auto"/>
              <w:left w:val="nil"/>
              <w:bottom w:val="single" w:sz="4" w:space="0" w:color="auto"/>
              <w:right w:val="single" w:sz="4" w:space="0" w:color="auto"/>
            </w:tcBorders>
            <w:shd w:val="clear" w:color="000000" w:fill="B6DDE8"/>
            <w:vAlign w:val="center"/>
            <w:hideMark/>
          </w:tcPr>
          <w:p w:rsidR="007D159D" w:rsidRPr="007D159D" w:rsidRDefault="007D159D" w:rsidP="007D159D">
            <w:pPr>
              <w:spacing w:after="0" w:line="240" w:lineRule="auto"/>
              <w:jc w:val="center"/>
              <w:rPr>
                <w:rFonts w:ascii="Calibri" w:eastAsia="Times New Roman" w:hAnsi="Calibri" w:cs="Times New Roman"/>
                <w:b/>
                <w:bCs/>
                <w:color w:val="000000"/>
              </w:rPr>
            </w:pPr>
            <w:r w:rsidRPr="007D159D">
              <w:rPr>
                <w:rFonts w:ascii="Calibri" w:eastAsia="Times New Roman" w:hAnsi="Calibri" w:cs="Times New Roman"/>
                <w:b/>
                <w:bCs/>
                <w:color w:val="000000"/>
              </w:rPr>
              <w:t>Projektirana poraba (l/s)</w:t>
            </w:r>
          </w:p>
        </w:tc>
        <w:tc>
          <w:tcPr>
            <w:tcW w:w="689" w:type="pct"/>
            <w:tcBorders>
              <w:top w:val="single" w:sz="4" w:space="0" w:color="auto"/>
              <w:left w:val="nil"/>
              <w:bottom w:val="single" w:sz="4" w:space="0" w:color="auto"/>
              <w:right w:val="single" w:sz="4" w:space="0" w:color="auto"/>
            </w:tcBorders>
            <w:shd w:val="clear" w:color="000000" w:fill="B6DDE8"/>
            <w:vAlign w:val="center"/>
            <w:hideMark/>
          </w:tcPr>
          <w:p w:rsidR="007D159D" w:rsidRPr="007D159D" w:rsidRDefault="001A0448" w:rsidP="0008255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Projektirana poraba (m3/do 3</w:t>
            </w:r>
            <w:r w:rsidR="00B7008A">
              <w:rPr>
                <w:rFonts w:ascii="Calibri" w:eastAsia="Times New Roman" w:hAnsi="Calibri" w:cs="Times New Roman"/>
                <w:b/>
                <w:bCs/>
                <w:color w:val="000000"/>
              </w:rPr>
              <w:t>1</w:t>
            </w:r>
            <w:r>
              <w:rPr>
                <w:rFonts w:ascii="Calibri" w:eastAsia="Times New Roman" w:hAnsi="Calibri" w:cs="Times New Roman"/>
                <w:b/>
                <w:bCs/>
                <w:color w:val="000000"/>
              </w:rPr>
              <w:t>.</w:t>
            </w:r>
            <w:r w:rsidR="00082557">
              <w:rPr>
                <w:rFonts w:ascii="Calibri" w:eastAsia="Times New Roman" w:hAnsi="Calibri" w:cs="Times New Roman"/>
                <w:b/>
                <w:bCs/>
                <w:color w:val="000000"/>
              </w:rPr>
              <w:t>10</w:t>
            </w:r>
            <w:r w:rsidR="007D159D" w:rsidRPr="007D159D">
              <w:rPr>
                <w:rFonts w:ascii="Calibri" w:eastAsia="Times New Roman" w:hAnsi="Calibri" w:cs="Times New Roman"/>
                <w:b/>
                <w:bCs/>
                <w:color w:val="000000"/>
              </w:rPr>
              <w:t>)</w:t>
            </w:r>
          </w:p>
        </w:tc>
        <w:tc>
          <w:tcPr>
            <w:tcW w:w="624" w:type="pct"/>
            <w:tcBorders>
              <w:top w:val="single" w:sz="4" w:space="0" w:color="auto"/>
              <w:left w:val="nil"/>
              <w:bottom w:val="single" w:sz="4" w:space="0" w:color="auto"/>
              <w:right w:val="single" w:sz="4" w:space="0" w:color="auto"/>
            </w:tcBorders>
            <w:shd w:val="clear" w:color="000000" w:fill="B6DDE8"/>
            <w:vAlign w:val="center"/>
            <w:hideMark/>
          </w:tcPr>
          <w:p w:rsidR="007D159D" w:rsidRPr="007D159D" w:rsidRDefault="007D159D" w:rsidP="007D159D">
            <w:pPr>
              <w:spacing w:after="0" w:line="240" w:lineRule="auto"/>
              <w:jc w:val="center"/>
              <w:rPr>
                <w:rFonts w:ascii="Calibri" w:eastAsia="Times New Roman" w:hAnsi="Calibri" w:cs="Times New Roman"/>
                <w:b/>
                <w:bCs/>
                <w:color w:val="000000"/>
              </w:rPr>
            </w:pPr>
            <w:r w:rsidRPr="007D159D">
              <w:rPr>
                <w:rFonts w:ascii="Calibri" w:eastAsia="Times New Roman" w:hAnsi="Calibri" w:cs="Times New Roman"/>
                <w:b/>
                <w:bCs/>
                <w:color w:val="000000"/>
              </w:rPr>
              <w:t>IZKORI</w:t>
            </w:r>
            <w:r>
              <w:rPr>
                <w:rFonts w:ascii="Calibri" w:eastAsia="Times New Roman" w:hAnsi="Calibri" w:cs="Times New Roman"/>
                <w:b/>
                <w:bCs/>
                <w:color w:val="000000"/>
              </w:rPr>
              <w:t>-</w:t>
            </w:r>
            <w:r w:rsidRPr="007D159D">
              <w:rPr>
                <w:rFonts w:ascii="Calibri" w:eastAsia="Times New Roman" w:hAnsi="Calibri" w:cs="Times New Roman"/>
                <w:b/>
                <w:bCs/>
                <w:color w:val="000000"/>
              </w:rPr>
              <w:t>ŠČENOST</w:t>
            </w:r>
          </w:p>
        </w:tc>
        <w:tc>
          <w:tcPr>
            <w:tcW w:w="728" w:type="pct"/>
            <w:tcBorders>
              <w:top w:val="single" w:sz="4" w:space="0" w:color="auto"/>
              <w:left w:val="nil"/>
              <w:bottom w:val="single" w:sz="4" w:space="0" w:color="auto"/>
              <w:right w:val="single" w:sz="4" w:space="0" w:color="auto"/>
            </w:tcBorders>
            <w:shd w:val="clear" w:color="000000" w:fill="B6DDE8"/>
            <w:vAlign w:val="center"/>
            <w:hideMark/>
          </w:tcPr>
          <w:p w:rsidR="007D159D" w:rsidRPr="007D159D" w:rsidRDefault="007D159D" w:rsidP="007D159D">
            <w:pPr>
              <w:spacing w:after="0" w:line="240" w:lineRule="auto"/>
              <w:jc w:val="center"/>
              <w:rPr>
                <w:rFonts w:ascii="Calibri" w:eastAsia="Times New Roman" w:hAnsi="Calibri" w:cs="Times New Roman"/>
                <w:b/>
                <w:bCs/>
                <w:color w:val="000000"/>
              </w:rPr>
            </w:pPr>
            <w:r w:rsidRPr="007D159D">
              <w:rPr>
                <w:rFonts w:ascii="Calibri" w:eastAsia="Times New Roman" w:hAnsi="Calibri" w:cs="Times New Roman"/>
                <w:b/>
                <w:bCs/>
                <w:color w:val="000000"/>
              </w:rPr>
              <w:t>NEIZKORI</w:t>
            </w:r>
            <w:r>
              <w:rPr>
                <w:rFonts w:ascii="Calibri" w:eastAsia="Times New Roman" w:hAnsi="Calibri" w:cs="Times New Roman"/>
                <w:b/>
                <w:bCs/>
                <w:color w:val="000000"/>
              </w:rPr>
              <w:t>-</w:t>
            </w:r>
            <w:r w:rsidRPr="007D159D">
              <w:rPr>
                <w:rFonts w:ascii="Calibri" w:eastAsia="Times New Roman" w:hAnsi="Calibri" w:cs="Times New Roman"/>
                <w:b/>
                <w:bCs/>
                <w:color w:val="000000"/>
              </w:rPr>
              <w:t>ŠČENOST</w:t>
            </w:r>
          </w:p>
        </w:tc>
      </w:tr>
      <w:tr w:rsidR="007D159D" w:rsidRPr="007D159D" w:rsidTr="00082557">
        <w:trPr>
          <w:trHeight w:val="300"/>
        </w:trPr>
        <w:tc>
          <w:tcPr>
            <w:tcW w:w="1500" w:type="pct"/>
            <w:tcBorders>
              <w:top w:val="nil"/>
              <w:left w:val="single" w:sz="4" w:space="0" w:color="auto"/>
              <w:bottom w:val="single" w:sz="4" w:space="0" w:color="auto"/>
              <w:right w:val="single" w:sz="4" w:space="0" w:color="auto"/>
            </w:tcBorders>
            <w:shd w:val="clear" w:color="auto" w:fill="auto"/>
            <w:noWrap/>
            <w:vAlign w:val="bottom"/>
            <w:hideMark/>
          </w:tcPr>
          <w:p w:rsidR="007D159D" w:rsidRPr="007D159D" w:rsidRDefault="00B7008A" w:rsidP="007D159D">
            <w:pPr>
              <w:spacing w:after="0" w:line="240" w:lineRule="auto"/>
              <w:rPr>
                <w:rFonts w:ascii="Calibri" w:eastAsia="Times New Roman" w:hAnsi="Calibri" w:cs="Times New Roman"/>
                <w:color w:val="000000"/>
              </w:rPr>
            </w:pPr>
            <w:r>
              <w:rPr>
                <w:rFonts w:ascii="Calibri" w:eastAsia="Times New Roman" w:hAnsi="Calibri" w:cs="Times New Roman"/>
                <w:color w:val="000000"/>
              </w:rPr>
              <w:t>GJS</w:t>
            </w:r>
          </w:p>
        </w:tc>
        <w:tc>
          <w:tcPr>
            <w:tcW w:w="770" w:type="pct"/>
            <w:tcBorders>
              <w:top w:val="nil"/>
              <w:left w:val="nil"/>
              <w:bottom w:val="single" w:sz="4" w:space="0" w:color="auto"/>
              <w:right w:val="single" w:sz="4" w:space="0" w:color="auto"/>
            </w:tcBorders>
            <w:shd w:val="clear" w:color="auto" w:fill="auto"/>
            <w:noWrap/>
            <w:vAlign w:val="bottom"/>
          </w:tcPr>
          <w:p w:rsidR="007D159D" w:rsidRPr="007D159D" w:rsidRDefault="00082557" w:rsidP="007D15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160.621</w:t>
            </w:r>
          </w:p>
        </w:tc>
        <w:tc>
          <w:tcPr>
            <w:tcW w:w="689" w:type="pct"/>
            <w:tcBorders>
              <w:top w:val="nil"/>
              <w:left w:val="nil"/>
              <w:bottom w:val="single" w:sz="4" w:space="0" w:color="auto"/>
              <w:right w:val="single" w:sz="4" w:space="0" w:color="auto"/>
            </w:tcBorders>
            <w:shd w:val="clear" w:color="auto" w:fill="auto"/>
            <w:noWrap/>
            <w:vAlign w:val="bottom"/>
          </w:tcPr>
          <w:p w:rsidR="007D159D" w:rsidRPr="007D159D" w:rsidRDefault="00082557" w:rsidP="00B7008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16,9</w:t>
            </w:r>
          </w:p>
        </w:tc>
        <w:tc>
          <w:tcPr>
            <w:tcW w:w="689" w:type="pct"/>
            <w:tcBorders>
              <w:top w:val="nil"/>
              <w:left w:val="nil"/>
              <w:bottom w:val="single" w:sz="4" w:space="0" w:color="auto"/>
              <w:right w:val="single" w:sz="4" w:space="0" w:color="auto"/>
            </w:tcBorders>
            <w:shd w:val="clear" w:color="auto" w:fill="auto"/>
            <w:noWrap/>
            <w:vAlign w:val="bottom"/>
          </w:tcPr>
          <w:p w:rsidR="007D159D" w:rsidRPr="007D159D" w:rsidRDefault="007D159D" w:rsidP="007D159D">
            <w:pPr>
              <w:spacing w:after="0" w:line="240" w:lineRule="auto"/>
              <w:jc w:val="right"/>
              <w:rPr>
                <w:rFonts w:ascii="Calibri" w:eastAsia="Times New Roman" w:hAnsi="Calibri" w:cs="Times New Roman"/>
                <w:color w:val="000000"/>
              </w:rPr>
            </w:pPr>
          </w:p>
        </w:tc>
        <w:tc>
          <w:tcPr>
            <w:tcW w:w="624" w:type="pct"/>
            <w:tcBorders>
              <w:top w:val="nil"/>
              <w:left w:val="nil"/>
              <w:bottom w:val="single" w:sz="4" w:space="0" w:color="auto"/>
              <w:right w:val="single" w:sz="4" w:space="0" w:color="auto"/>
            </w:tcBorders>
            <w:shd w:val="clear" w:color="auto" w:fill="auto"/>
            <w:noWrap/>
            <w:vAlign w:val="bottom"/>
          </w:tcPr>
          <w:p w:rsidR="007D159D" w:rsidRPr="001D3FF5" w:rsidRDefault="007D159D" w:rsidP="007D159D">
            <w:pPr>
              <w:spacing w:after="0" w:line="240" w:lineRule="auto"/>
              <w:jc w:val="right"/>
              <w:rPr>
                <w:rFonts w:ascii="Calibri" w:eastAsia="Times New Roman" w:hAnsi="Calibri" w:cs="Times New Roman"/>
              </w:rPr>
            </w:pPr>
          </w:p>
        </w:tc>
        <w:tc>
          <w:tcPr>
            <w:tcW w:w="728" w:type="pct"/>
            <w:tcBorders>
              <w:top w:val="nil"/>
              <w:left w:val="nil"/>
              <w:bottom w:val="single" w:sz="4" w:space="0" w:color="auto"/>
              <w:right w:val="single" w:sz="4" w:space="0" w:color="auto"/>
            </w:tcBorders>
            <w:shd w:val="clear" w:color="auto" w:fill="auto"/>
            <w:noWrap/>
            <w:vAlign w:val="bottom"/>
          </w:tcPr>
          <w:p w:rsidR="007D159D" w:rsidRPr="001D3FF5" w:rsidRDefault="007D159D" w:rsidP="007D159D">
            <w:pPr>
              <w:spacing w:after="0" w:line="240" w:lineRule="auto"/>
              <w:jc w:val="right"/>
              <w:rPr>
                <w:rFonts w:ascii="Calibri" w:eastAsia="Times New Roman" w:hAnsi="Calibri" w:cs="Times New Roman"/>
              </w:rPr>
            </w:pPr>
          </w:p>
        </w:tc>
      </w:tr>
      <w:tr w:rsidR="007D159D" w:rsidRPr="007D159D" w:rsidTr="00082557">
        <w:trPr>
          <w:trHeight w:val="300"/>
        </w:trPr>
        <w:tc>
          <w:tcPr>
            <w:tcW w:w="1500" w:type="pct"/>
            <w:tcBorders>
              <w:top w:val="nil"/>
              <w:left w:val="single" w:sz="4" w:space="0" w:color="auto"/>
              <w:bottom w:val="single" w:sz="4" w:space="0" w:color="auto"/>
              <w:right w:val="single" w:sz="4" w:space="0" w:color="auto"/>
            </w:tcBorders>
            <w:shd w:val="clear" w:color="auto" w:fill="auto"/>
            <w:noWrap/>
            <w:vAlign w:val="bottom"/>
            <w:hideMark/>
          </w:tcPr>
          <w:p w:rsidR="007D159D" w:rsidRPr="007D159D" w:rsidRDefault="00B7008A" w:rsidP="007D159D">
            <w:pPr>
              <w:spacing w:after="0" w:line="240" w:lineRule="auto"/>
              <w:rPr>
                <w:rFonts w:ascii="Calibri" w:eastAsia="Times New Roman" w:hAnsi="Calibri" w:cs="Times New Roman"/>
                <w:color w:val="000000"/>
              </w:rPr>
            </w:pPr>
            <w:r>
              <w:rPr>
                <w:rFonts w:ascii="Calibri" w:eastAsia="Times New Roman" w:hAnsi="Calibri" w:cs="Times New Roman"/>
                <w:color w:val="000000"/>
              </w:rPr>
              <w:t>Gospodarstvo GJS</w:t>
            </w:r>
          </w:p>
        </w:tc>
        <w:tc>
          <w:tcPr>
            <w:tcW w:w="770" w:type="pct"/>
            <w:tcBorders>
              <w:top w:val="nil"/>
              <w:left w:val="nil"/>
              <w:bottom w:val="single" w:sz="4" w:space="0" w:color="auto"/>
              <w:right w:val="single" w:sz="4" w:space="0" w:color="auto"/>
            </w:tcBorders>
            <w:shd w:val="clear" w:color="auto" w:fill="auto"/>
            <w:noWrap/>
            <w:vAlign w:val="bottom"/>
          </w:tcPr>
          <w:p w:rsidR="007D159D" w:rsidRPr="007D159D" w:rsidRDefault="00082557" w:rsidP="007D159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 xml:space="preserve"> </w:t>
            </w:r>
          </w:p>
        </w:tc>
        <w:tc>
          <w:tcPr>
            <w:tcW w:w="689" w:type="pct"/>
            <w:tcBorders>
              <w:top w:val="nil"/>
              <w:left w:val="nil"/>
              <w:bottom w:val="single" w:sz="4" w:space="0" w:color="auto"/>
              <w:right w:val="single" w:sz="4" w:space="0" w:color="auto"/>
            </w:tcBorders>
            <w:shd w:val="clear" w:color="auto" w:fill="auto"/>
            <w:noWrap/>
            <w:vAlign w:val="bottom"/>
          </w:tcPr>
          <w:p w:rsidR="007D159D" w:rsidRPr="007D159D" w:rsidRDefault="007D159D" w:rsidP="007D159D">
            <w:pPr>
              <w:spacing w:after="0" w:line="240" w:lineRule="auto"/>
              <w:jc w:val="right"/>
              <w:rPr>
                <w:rFonts w:ascii="Calibri" w:eastAsia="Times New Roman" w:hAnsi="Calibri" w:cs="Times New Roman"/>
                <w:color w:val="000000"/>
              </w:rPr>
            </w:pPr>
          </w:p>
        </w:tc>
        <w:tc>
          <w:tcPr>
            <w:tcW w:w="689" w:type="pct"/>
            <w:tcBorders>
              <w:top w:val="nil"/>
              <w:left w:val="nil"/>
              <w:bottom w:val="single" w:sz="4" w:space="0" w:color="auto"/>
              <w:right w:val="single" w:sz="4" w:space="0" w:color="auto"/>
            </w:tcBorders>
            <w:shd w:val="clear" w:color="auto" w:fill="auto"/>
            <w:noWrap/>
            <w:vAlign w:val="bottom"/>
          </w:tcPr>
          <w:p w:rsidR="007D159D" w:rsidRPr="007D159D" w:rsidRDefault="007D159D" w:rsidP="007D159D">
            <w:pPr>
              <w:spacing w:after="0" w:line="240" w:lineRule="auto"/>
              <w:jc w:val="right"/>
              <w:rPr>
                <w:rFonts w:ascii="Calibri" w:eastAsia="Times New Roman" w:hAnsi="Calibri" w:cs="Times New Roman"/>
                <w:color w:val="000000"/>
              </w:rPr>
            </w:pPr>
          </w:p>
        </w:tc>
        <w:tc>
          <w:tcPr>
            <w:tcW w:w="624" w:type="pct"/>
            <w:tcBorders>
              <w:top w:val="nil"/>
              <w:left w:val="nil"/>
              <w:bottom w:val="single" w:sz="4" w:space="0" w:color="auto"/>
              <w:right w:val="single" w:sz="4" w:space="0" w:color="auto"/>
            </w:tcBorders>
            <w:shd w:val="clear" w:color="auto" w:fill="auto"/>
            <w:noWrap/>
            <w:vAlign w:val="bottom"/>
          </w:tcPr>
          <w:p w:rsidR="007D159D" w:rsidRPr="001D3FF5" w:rsidRDefault="007D159D" w:rsidP="007D159D">
            <w:pPr>
              <w:spacing w:after="0" w:line="240" w:lineRule="auto"/>
              <w:jc w:val="right"/>
              <w:rPr>
                <w:rFonts w:ascii="Calibri" w:eastAsia="Times New Roman" w:hAnsi="Calibri" w:cs="Times New Roman"/>
              </w:rPr>
            </w:pPr>
          </w:p>
        </w:tc>
        <w:tc>
          <w:tcPr>
            <w:tcW w:w="728" w:type="pct"/>
            <w:tcBorders>
              <w:top w:val="nil"/>
              <w:left w:val="nil"/>
              <w:bottom w:val="single" w:sz="4" w:space="0" w:color="auto"/>
              <w:right w:val="single" w:sz="4" w:space="0" w:color="auto"/>
            </w:tcBorders>
            <w:shd w:val="clear" w:color="auto" w:fill="auto"/>
            <w:noWrap/>
            <w:vAlign w:val="bottom"/>
          </w:tcPr>
          <w:p w:rsidR="007D159D" w:rsidRPr="001D3FF5" w:rsidRDefault="007D159D" w:rsidP="007D159D">
            <w:pPr>
              <w:spacing w:after="0" w:line="240" w:lineRule="auto"/>
              <w:jc w:val="right"/>
              <w:rPr>
                <w:rFonts w:ascii="Calibri" w:eastAsia="Times New Roman" w:hAnsi="Calibri" w:cs="Times New Roman"/>
              </w:rPr>
            </w:pPr>
          </w:p>
        </w:tc>
      </w:tr>
      <w:tr w:rsidR="00955F30" w:rsidRPr="007D159D" w:rsidTr="001D3FF5">
        <w:trPr>
          <w:trHeight w:val="300"/>
        </w:trPr>
        <w:tc>
          <w:tcPr>
            <w:tcW w:w="1500" w:type="pct"/>
            <w:tcBorders>
              <w:top w:val="nil"/>
              <w:left w:val="single" w:sz="4" w:space="0" w:color="auto"/>
              <w:bottom w:val="single" w:sz="4" w:space="0" w:color="auto"/>
              <w:right w:val="single" w:sz="4" w:space="0" w:color="auto"/>
            </w:tcBorders>
            <w:shd w:val="clear" w:color="auto" w:fill="auto"/>
            <w:noWrap/>
            <w:vAlign w:val="bottom"/>
          </w:tcPr>
          <w:p w:rsidR="00955F30" w:rsidRPr="00955F30" w:rsidRDefault="00955F30" w:rsidP="00B7008A">
            <w:pPr>
              <w:spacing w:after="0" w:line="240" w:lineRule="auto"/>
              <w:rPr>
                <w:rFonts w:ascii="Calibri" w:eastAsia="Times New Roman" w:hAnsi="Calibri" w:cs="Times New Roman"/>
                <w:b/>
                <w:color w:val="000000"/>
              </w:rPr>
            </w:pPr>
            <w:r w:rsidRPr="00955F30">
              <w:rPr>
                <w:rFonts w:ascii="Calibri" w:eastAsia="Times New Roman" w:hAnsi="Calibri" w:cs="Times New Roman"/>
                <w:b/>
                <w:color w:val="000000"/>
              </w:rPr>
              <w:t>SKUPAJ DO 3</w:t>
            </w:r>
            <w:r w:rsidR="00B7008A">
              <w:rPr>
                <w:rFonts w:ascii="Calibri" w:eastAsia="Times New Roman" w:hAnsi="Calibri" w:cs="Times New Roman"/>
                <w:b/>
                <w:color w:val="000000"/>
              </w:rPr>
              <w:t>1</w:t>
            </w:r>
            <w:r w:rsidRPr="00955F30">
              <w:rPr>
                <w:rFonts w:ascii="Calibri" w:eastAsia="Times New Roman" w:hAnsi="Calibri" w:cs="Times New Roman"/>
                <w:b/>
                <w:color w:val="000000"/>
              </w:rPr>
              <w:t>.</w:t>
            </w:r>
            <w:r w:rsidR="00B7008A">
              <w:rPr>
                <w:rFonts w:ascii="Calibri" w:eastAsia="Times New Roman" w:hAnsi="Calibri" w:cs="Times New Roman"/>
                <w:b/>
                <w:color w:val="000000"/>
              </w:rPr>
              <w:t>8</w:t>
            </w:r>
          </w:p>
        </w:tc>
        <w:tc>
          <w:tcPr>
            <w:tcW w:w="770" w:type="pct"/>
            <w:tcBorders>
              <w:top w:val="nil"/>
              <w:left w:val="nil"/>
              <w:bottom w:val="single" w:sz="4" w:space="0" w:color="auto"/>
              <w:right w:val="single" w:sz="4" w:space="0" w:color="auto"/>
            </w:tcBorders>
            <w:shd w:val="clear" w:color="auto" w:fill="auto"/>
            <w:noWrap/>
            <w:vAlign w:val="bottom"/>
          </w:tcPr>
          <w:p w:rsidR="00955F30" w:rsidRPr="00955F30" w:rsidRDefault="00082557" w:rsidP="007D159D">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160.621</w:t>
            </w:r>
          </w:p>
        </w:tc>
        <w:tc>
          <w:tcPr>
            <w:tcW w:w="689" w:type="pct"/>
            <w:tcBorders>
              <w:top w:val="nil"/>
              <w:left w:val="nil"/>
              <w:bottom w:val="single" w:sz="4" w:space="0" w:color="auto"/>
              <w:right w:val="single" w:sz="4" w:space="0" w:color="auto"/>
            </w:tcBorders>
            <w:shd w:val="clear" w:color="auto" w:fill="auto"/>
            <w:noWrap/>
            <w:vAlign w:val="bottom"/>
          </w:tcPr>
          <w:p w:rsidR="00955F30" w:rsidRPr="00955F30" w:rsidRDefault="00082557" w:rsidP="007D159D">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16,9</w:t>
            </w:r>
          </w:p>
        </w:tc>
        <w:tc>
          <w:tcPr>
            <w:tcW w:w="689" w:type="pct"/>
            <w:tcBorders>
              <w:top w:val="nil"/>
              <w:left w:val="nil"/>
              <w:bottom w:val="single" w:sz="4" w:space="0" w:color="auto"/>
              <w:right w:val="single" w:sz="4" w:space="0" w:color="auto"/>
            </w:tcBorders>
            <w:shd w:val="clear" w:color="auto" w:fill="auto"/>
            <w:noWrap/>
            <w:vAlign w:val="bottom"/>
          </w:tcPr>
          <w:p w:rsidR="00955F30" w:rsidRPr="00955F30" w:rsidRDefault="00082557" w:rsidP="007D159D">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443.888,64</w:t>
            </w:r>
          </w:p>
        </w:tc>
        <w:tc>
          <w:tcPr>
            <w:tcW w:w="624" w:type="pct"/>
            <w:tcBorders>
              <w:top w:val="nil"/>
              <w:left w:val="nil"/>
              <w:bottom w:val="single" w:sz="4" w:space="0" w:color="auto"/>
              <w:right w:val="single" w:sz="4" w:space="0" w:color="auto"/>
            </w:tcBorders>
            <w:shd w:val="clear" w:color="auto" w:fill="auto"/>
            <w:noWrap/>
            <w:vAlign w:val="bottom"/>
          </w:tcPr>
          <w:p w:rsidR="00955F30" w:rsidRPr="00B7008A" w:rsidRDefault="00082557" w:rsidP="007D159D">
            <w:pPr>
              <w:spacing w:after="0" w:line="240" w:lineRule="auto"/>
              <w:jc w:val="right"/>
              <w:rPr>
                <w:rFonts w:ascii="Calibri" w:eastAsia="Times New Roman" w:hAnsi="Calibri" w:cs="Times New Roman"/>
                <w:b/>
              </w:rPr>
            </w:pPr>
            <w:r>
              <w:rPr>
                <w:rFonts w:ascii="Calibri" w:eastAsia="Times New Roman" w:hAnsi="Calibri" w:cs="Times New Roman"/>
                <w:b/>
              </w:rPr>
              <w:t>36,185</w:t>
            </w:r>
          </w:p>
        </w:tc>
        <w:tc>
          <w:tcPr>
            <w:tcW w:w="728" w:type="pct"/>
            <w:tcBorders>
              <w:top w:val="nil"/>
              <w:left w:val="nil"/>
              <w:bottom w:val="single" w:sz="4" w:space="0" w:color="auto"/>
              <w:right w:val="single" w:sz="4" w:space="0" w:color="auto"/>
            </w:tcBorders>
            <w:shd w:val="clear" w:color="auto" w:fill="auto"/>
            <w:noWrap/>
            <w:vAlign w:val="bottom"/>
          </w:tcPr>
          <w:p w:rsidR="00955F30" w:rsidRPr="00B7008A" w:rsidRDefault="00082557" w:rsidP="007D159D">
            <w:pPr>
              <w:spacing w:after="0" w:line="240" w:lineRule="auto"/>
              <w:jc w:val="right"/>
              <w:rPr>
                <w:rFonts w:ascii="Calibri" w:eastAsia="Times New Roman" w:hAnsi="Calibri" w:cs="Times New Roman"/>
                <w:b/>
              </w:rPr>
            </w:pPr>
            <w:r>
              <w:rPr>
                <w:rFonts w:ascii="Calibri" w:eastAsia="Times New Roman" w:hAnsi="Calibri" w:cs="Times New Roman"/>
                <w:b/>
              </w:rPr>
              <w:t>63,815</w:t>
            </w:r>
          </w:p>
        </w:tc>
      </w:tr>
    </w:tbl>
    <w:p w:rsidR="00B7008A" w:rsidRDefault="00B7008A" w:rsidP="006E7534">
      <w:pPr>
        <w:pStyle w:val="vrstapredpisa"/>
        <w:spacing w:before="0" w:beforeAutospacing="0" w:after="0" w:afterAutospacing="0"/>
        <w:jc w:val="both"/>
        <w:rPr>
          <w:rFonts w:asciiTheme="minorHAnsi" w:hAnsiTheme="minorHAnsi"/>
        </w:rPr>
      </w:pPr>
    </w:p>
    <w:p w:rsidR="006E7534" w:rsidRDefault="00BC1C6C" w:rsidP="00134F40">
      <w:pPr>
        <w:pStyle w:val="vrstapredpisa"/>
        <w:spacing w:before="0" w:beforeAutospacing="0" w:after="0" w:afterAutospacing="0"/>
        <w:jc w:val="both"/>
        <w:rPr>
          <w:rFonts w:asciiTheme="minorHAnsi" w:hAnsiTheme="minorHAnsi"/>
        </w:rPr>
      </w:pPr>
      <w:r>
        <w:rPr>
          <w:rFonts w:asciiTheme="minorHAnsi" w:hAnsiTheme="minorHAnsi"/>
        </w:rPr>
        <w:t>*</w:t>
      </w:r>
      <w:r w:rsidR="001D3FF5">
        <w:rPr>
          <w:rFonts w:asciiTheme="minorHAnsi" w:hAnsiTheme="minorHAnsi"/>
        </w:rPr>
        <w:t xml:space="preserve">Projektirana poraba v Občini </w:t>
      </w:r>
      <w:r w:rsidR="0035080D">
        <w:rPr>
          <w:rFonts w:asciiTheme="minorHAnsi" w:hAnsiTheme="minorHAnsi"/>
        </w:rPr>
        <w:t>Črenšovci</w:t>
      </w:r>
      <w:r w:rsidR="001D3FF5">
        <w:rPr>
          <w:rFonts w:asciiTheme="minorHAnsi" w:hAnsiTheme="minorHAnsi"/>
        </w:rPr>
        <w:t xml:space="preserve"> je izračunana tako, da smo</w:t>
      </w:r>
      <w:r w:rsidR="00101438">
        <w:rPr>
          <w:rFonts w:asciiTheme="minorHAnsi" w:hAnsiTheme="minorHAnsi"/>
        </w:rPr>
        <w:t xml:space="preserve"> skupno projektirano porabo za </w:t>
      </w:r>
      <w:r w:rsidR="00134F40">
        <w:rPr>
          <w:rFonts w:asciiTheme="minorHAnsi" w:hAnsiTheme="minorHAnsi"/>
        </w:rPr>
        <w:t>občino</w:t>
      </w:r>
      <w:r w:rsidR="00101438">
        <w:rPr>
          <w:rFonts w:asciiTheme="minorHAnsi" w:hAnsiTheme="minorHAnsi"/>
        </w:rPr>
        <w:t xml:space="preserve"> (fizične osebe in pravne osebe</w:t>
      </w:r>
      <w:r w:rsidR="00134F40">
        <w:rPr>
          <w:rFonts w:asciiTheme="minorHAnsi" w:hAnsiTheme="minorHAnsi"/>
        </w:rPr>
        <w:t xml:space="preserve">) </w:t>
      </w:r>
      <w:r w:rsidR="00082557">
        <w:rPr>
          <w:rFonts w:asciiTheme="minorHAnsi" w:hAnsiTheme="minorHAnsi"/>
        </w:rPr>
        <w:t>16,9</w:t>
      </w:r>
      <w:r w:rsidR="00134F40">
        <w:rPr>
          <w:rFonts w:asciiTheme="minorHAnsi" w:hAnsiTheme="minorHAnsi"/>
        </w:rPr>
        <w:t xml:space="preserve"> l/s preračunali na m3, nato pa pomnožili s število sekund in dni za obdobje izračuna neizkoriščenih kapacitet.</w:t>
      </w:r>
    </w:p>
    <w:p w:rsidR="00134F40" w:rsidRDefault="00134F40" w:rsidP="00E44414">
      <w:pPr>
        <w:spacing w:after="0" w:line="240" w:lineRule="auto"/>
        <w:jc w:val="both"/>
        <w:rPr>
          <w:b/>
        </w:rPr>
      </w:pPr>
    </w:p>
    <w:p w:rsidR="007A2D40" w:rsidRPr="00E44414" w:rsidRDefault="00E44414" w:rsidP="00E44414">
      <w:pPr>
        <w:spacing w:after="0" w:line="240" w:lineRule="auto"/>
        <w:jc w:val="both"/>
        <w:rPr>
          <w:rFonts w:eastAsia="Times New Roman" w:cs="Times New Roman"/>
          <w:b/>
          <w:sz w:val="24"/>
          <w:szCs w:val="24"/>
        </w:rPr>
      </w:pPr>
      <w:r w:rsidRPr="00E44414">
        <w:rPr>
          <w:b/>
          <w:sz w:val="24"/>
          <w:szCs w:val="24"/>
        </w:rPr>
        <w:t>Zaradi različnega načina izračuna neizkoriščenih kapacitet (razmerje med dejansko porabo in najvišjo možno projektirano porabo) ter lastniških deležev po  Pogodbi o opredelitvi lastništva (samo projektirana poraba), je možno, da bo po uveljavitvi lastniške pogodbe prišlo do manjših odstopanj med osnovo za izračun amortizacije oziroma vrednostjo amortizacije, ki se kot najemnina upošteva  pri izračunu omrežnine (2-3 %)</w:t>
      </w:r>
      <w:r w:rsidR="007A2D40" w:rsidRPr="00E44414">
        <w:rPr>
          <w:b/>
          <w:sz w:val="24"/>
          <w:szCs w:val="24"/>
        </w:rPr>
        <w:br w:type="page"/>
      </w:r>
    </w:p>
    <w:p w:rsidR="00764AEE" w:rsidRDefault="00764AEE" w:rsidP="00127F10">
      <w:pPr>
        <w:pStyle w:val="vrstapredpisa"/>
        <w:numPr>
          <w:ilvl w:val="0"/>
          <w:numId w:val="1"/>
        </w:numPr>
        <w:spacing w:before="0" w:beforeAutospacing="0" w:after="0" w:afterAutospacing="0"/>
        <w:jc w:val="both"/>
        <w:rPr>
          <w:rFonts w:asciiTheme="minorHAnsi" w:hAnsiTheme="minorHAnsi"/>
          <w:b/>
        </w:rPr>
        <w:sectPr w:rsidR="00764AEE" w:rsidSect="00AA642C">
          <w:footerReference w:type="default" r:id="rId9"/>
          <w:pgSz w:w="11906" w:h="16838"/>
          <w:pgMar w:top="1417" w:right="1417" w:bottom="1417" w:left="1417" w:header="708" w:footer="708" w:gutter="0"/>
          <w:cols w:space="708"/>
          <w:docGrid w:linePitch="360"/>
        </w:sectPr>
      </w:pPr>
    </w:p>
    <w:p w:rsidR="00127F10" w:rsidRPr="006E7534" w:rsidRDefault="00A309A5" w:rsidP="00127F10">
      <w:pPr>
        <w:pStyle w:val="vrstapredpisa"/>
        <w:numPr>
          <w:ilvl w:val="0"/>
          <w:numId w:val="1"/>
        </w:numPr>
        <w:spacing w:before="0" w:beforeAutospacing="0" w:after="0" w:afterAutospacing="0"/>
        <w:jc w:val="both"/>
        <w:rPr>
          <w:rFonts w:asciiTheme="minorHAnsi" w:hAnsiTheme="minorHAnsi"/>
          <w:b/>
        </w:rPr>
      </w:pPr>
      <w:r>
        <w:rPr>
          <w:rFonts w:asciiTheme="minorHAnsi" w:hAnsiTheme="minorHAnsi"/>
          <w:b/>
        </w:rPr>
        <w:lastRenderedPageBreak/>
        <w:t>Projekcija zmanjšanja vrednosti osnove</w:t>
      </w:r>
      <w:r w:rsidR="00773804">
        <w:rPr>
          <w:rFonts w:asciiTheme="minorHAnsi" w:hAnsiTheme="minorHAnsi"/>
          <w:b/>
        </w:rPr>
        <w:t xml:space="preserve"> za izračun</w:t>
      </w:r>
      <w:r>
        <w:rPr>
          <w:rFonts w:asciiTheme="minorHAnsi" w:hAnsiTheme="minorHAnsi"/>
          <w:b/>
        </w:rPr>
        <w:t xml:space="preserve"> amortizacije/</w:t>
      </w:r>
      <w:r w:rsidR="00773804">
        <w:rPr>
          <w:rFonts w:asciiTheme="minorHAnsi" w:hAnsiTheme="minorHAnsi"/>
          <w:b/>
        </w:rPr>
        <w:t>omrežnine</w:t>
      </w:r>
    </w:p>
    <w:p w:rsidR="006E7534" w:rsidRDefault="006E7534" w:rsidP="006E7534">
      <w:pPr>
        <w:pStyle w:val="vrstapredpisa"/>
        <w:spacing w:before="0" w:beforeAutospacing="0" w:after="0" w:afterAutospacing="0"/>
        <w:jc w:val="both"/>
        <w:rPr>
          <w:rFonts w:asciiTheme="minorHAnsi" w:hAnsiTheme="minorHAnsi"/>
        </w:rPr>
      </w:pPr>
    </w:p>
    <w:p w:rsidR="00607F32" w:rsidRPr="00607F32" w:rsidRDefault="00607F32" w:rsidP="006E7534">
      <w:pPr>
        <w:pStyle w:val="vrstapredpisa"/>
        <w:spacing w:before="0" w:beforeAutospacing="0" w:after="0" w:afterAutospacing="0"/>
        <w:jc w:val="both"/>
        <w:rPr>
          <w:rFonts w:asciiTheme="minorHAnsi" w:hAnsiTheme="minorHAnsi"/>
          <w:b/>
        </w:rPr>
      </w:pPr>
      <w:r w:rsidRPr="00607F32">
        <w:rPr>
          <w:rFonts w:asciiTheme="minorHAnsi" w:hAnsiTheme="minorHAnsi"/>
          <w:b/>
        </w:rPr>
        <w:t>3.1</w:t>
      </w:r>
      <w:r w:rsidR="006B1B23">
        <w:rPr>
          <w:rFonts w:asciiTheme="minorHAnsi" w:hAnsiTheme="minorHAnsi"/>
          <w:b/>
        </w:rPr>
        <w:t xml:space="preserve"> Vrednosti </w:t>
      </w:r>
    </w:p>
    <w:p w:rsidR="00607F32" w:rsidRDefault="00607F32" w:rsidP="00607F32">
      <w:pPr>
        <w:spacing w:after="0" w:line="240" w:lineRule="auto"/>
        <w:jc w:val="both"/>
        <w:rPr>
          <w:rFonts w:ascii="Calibri" w:eastAsia="Times New Roman" w:hAnsi="Calibri" w:cs="Times New Roman"/>
          <w:bCs/>
          <w:color w:val="000000"/>
        </w:rPr>
      </w:pPr>
    </w:p>
    <w:p w:rsidR="006B1B23" w:rsidRDefault="006B1B23" w:rsidP="00607F32">
      <w:pPr>
        <w:spacing w:after="0" w:line="240" w:lineRule="auto"/>
        <w:jc w:val="both"/>
        <w:rPr>
          <w:rFonts w:ascii="Calibri" w:eastAsia="Times New Roman" w:hAnsi="Calibri" w:cs="Times New Roman"/>
          <w:bCs/>
          <w:color w:val="000000"/>
        </w:rPr>
      </w:pPr>
      <w:r>
        <w:rPr>
          <w:rFonts w:ascii="Calibri" w:eastAsia="Times New Roman" w:hAnsi="Calibri" w:cs="Times New Roman"/>
          <w:bCs/>
          <w:color w:val="000000"/>
        </w:rPr>
        <w:t>Izhodišče so vrednosti transportnega omrežja</w:t>
      </w:r>
      <w:r w:rsidR="00396210">
        <w:rPr>
          <w:rFonts w:ascii="Calibri" w:eastAsia="Times New Roman" w:hAnsi="Calibri" w:cs="Times New Roman"/>
          <w:bCs/>
          <w:color w:val="000000"/>
        </w:rPr>
        <w:t>, primarnega in sekundarnega omrežja, vodohrana ter opreme in objektov, ki služijo za distribucijo vode,</w:t>
      </w:r>
      <w:r>
        <w:rPr>
          <w:rFonts w:ascii="Calibri" w:eastAsia="Times New Roman" w:hAnsi="Calibri" w:cs="Times New Roman"/>
          <w:bCs/>
          <w:color w:val="000000"/>
        </w:rPr>
        <w:t xml:space="preserve"> iz podatkov o obračunu amortizacije na dan 31.12.201</w:t>
      </w:r>
      <w:r w:rsidR="00195E47">
        <w:rPr>
          <w:rFonts w:ascii="Calibri" w:eastAsia="Times New Roman" w:hAnsi="Calibri" w:cs="Times New Roman"/>
          <w:bCs/>
          <w:color w:val="000000"/>
        </w:rPr>
        <w:t>7.</w:t>
      </w:r>
    </w:p>
    <w:p w:rsidR="006B1B23" w:rsidRDefault="006B1B23" w:rsidP="00607F32">
      <w:pPr>
        <w:spacing w:after="0" w:line="240" w:lineRule="auto"/>
        <w:jc w:val="both"/>
        <w:rPr>
          <w:rFonts w:ascii="Calibri" w:eastAsia="Times New Roman" w:hAnsi="Calibri" w:cs="Times New Roman"/>
          <w:bCs/>
          <w:color w:val="000000"/>
        </w:rPr>
      </w:pPr>
    </w:p>
    <w:p w:rsidR="00607F32" w:rsidRDefault="00607F32" w:rsidP="00607F32">
      <w:pPr>
        <w:spacing w:after="0" w:line="240" w:lineRule="auto"/>
        <w:jc w:val="both"/>
        <w:rPr>
          <w:rFonts w:ascii="Calibri" w:eastAsia="Times New Roman" w:hAnsi="Calibri" w:cs="Times New Roman"/>
          <w:b/>
          <w:bCs/>
          <w:color w:val="000000"/>
        </w:rPr>
      </w:pPr>
    </w:p>
    <w:p w:rsidR="00607F32" w:rsidRPr="00081F45" w:rsidRDefault="00607F32" w:rsidP="00607F32">
      <w:pPr>
        <w:spacing w:after="0" w:line="240" w:lineRule="auto"/>
        <w:jc w:val="both"/>
        <w:rPr>
          <w:rFonts w:ascii="Calibri" w:eastAsia="Times New Roman" w:hAnsi="Calibri" w:cs="Times New Roman"/>
          <w:b/>
          <w:bCs/>
          <w:color w:val="000000"/>
        </w:rPr>
      </w:pPr>
      <w:r w:rsidRPr="00081F45">
        <w:rPr>
          <w:rFonts w:ascii="Calibri" w:eastAsia="Times New Roman" w:hAnsi="Calibri" w:cs="Times New Roman"/>
          <w:b/>
          <w:bCs/>
          <w:color w:val="000000"/>
        </w:rPr>
        <w:t xml:space="preserve">Vrednosti </w:t>
      </w:r>
      <w:r w:rsidR="00081F45" w:rsidRPr="00081F45">
        <w:rPr>
          <w:rFonts w:ascii="Calibri" w:eastAsia="Times New Roman" w:hAnsi="Calibri" w:cs="Times New Roman"/>
          <w:b/>
          <w:bCs/>
          <w:color w:val="000000"/>
        </w:rPr>
        <w:t>vodovodnega omrežja, bilanca 31.12.201</w:t>
      </w:r>
      <w:r w:rsidR="00195E47">
        <w:rPr>
          <w:rFonts w:ascii="Calibri" w:eastAsia="Times New Roman" w:hAnsi="Calibri" w:cs="Times New Roman"/>
          <w:b/>
          <w:bCs/>
          <w:color w:val="000000"/>
        </w:rPr>
        <w:t>7</w:t>
      </w:r>
      <w:r w:rsidR="00081F45" w:rsidRPr="00081F45">
        <w:rPr>
          <w:rFonts w:ascii="Calibri" w:eastAsia="Times New Roman" w:hAnsi="Calibri" w:cs="Times New Roman"/>
          <w:b/>
          <w:bCs/>
          <w:color w:val="000000"/>
        </w:rPr>
        <w:t xml:space="preserve"> </w:t>
      </w:r>
    </w:p>
    <w:tbl>
      <w:tblPr>
        <w:tblStyle w:val="Tabelamrea"/>
        <w:tblW w:w="0" w:type="auto"/>
        <w:tblLook w:val="04A0" w:firstRow="1" w:lastRow="0" w:firstColumn="1" w:lastColumn="0" w:noHBand="0" w:noVBand="1"/>
      </w:tblPr>
      <w:tblGrid>
        <w:gridCol w:w="3785"/>
        <w:gridCol w:w="2702"/>
        <w:gridCol w:w="1701"/>
        <w:gridCol w:w="2126"/>
      </w:tblGrid>
      <w:tr w:rsidR="00081F45" w:rsidTr="00081F45">
        <w:tc>
          <w:tcPr>
            <w:tcW w:w="3785" w:type="dxa"/>
            <w:shd w:val="clear" w:color="auto" w:fill="C6D9F1" w:themeFill="text2" w:themeFillTint="33"/>
          </w:tcPr>
          <w:p w:rsidR="00081F45" w:rsidRPr="00081F45" w:rsidRDefault="00081F45" w:rsidP="006E7534">
            <w:pPr>
              <w:pStyle w:val="vrstapredpisa"/>
              <w:spacing w:before="0" w:beforeAutospacing="0" w:after="0" w:afterAutospacing="0"/>
              <w:jc w:val="both"/>
              <w:rPr>
                <w:rFonts w:asciiTheme="minorHAnsi" w:hAnsiTheme="minorHAnsi"/>
                <w:b/>
              </w:rPr>
            </w:pPr>
            <w:r w:rsidRPr="00081F45">
              <w:rPr>
                <w:rFonts w:asciiTheme="minorHAnsi" w:hAnsiTheme="minorHAnsi"/>
                <w:b/>
              </w:rPr>
              <w:t>Osnovno sredstvo</w:t>
            </w:r>
          </w:p>
        </w:tc>
        <w:tc>
          <w:tcPr>
            <w:tcW w:w="2702" w:type="dxa"/>
            <w:shd w:val="clear" w:color="auto" w:fill="C6D9F1" w:themeFill="text2" w:themeFillTint="33"/>
          </w:tcPr>
          <w:p w:rsidR="00081F45" w:rsidRPr="00081F45" w:rsidRDefault="00081F45" w:rsidP="00081F45">
            <w:pPr>
              <w:pStyle w:val="vrstapredpisa"/>
              <w:spacing w:before="0" w:beforeAutospacing="0" w:after="0" w:afterAutospacing="0"/>
              <w:jc w:val="center"/>
              <w:rPr>
                <w:rFonts w:asciiTheme="minorHAnsi" w:hAnsiTheme="minorHAnsi"/>
                <w:b/>
              </w:rPr>
            </w:pPr>
            <w:r w:rsidRPr="00081F45">
              <w:rPr>
                <w:rFonts w:asciiTheme="minorHAnsi" w:hAnsiTheme="minorHAnsi"/>
                <w:b/>
              </w:rPr>
              <w:t>Vrednost</w:t>
            </w:r>
          </w:p>
        </w:tc>
        <w:tc>
          <w:tcPr>
            <w:tcW w:w="1701" w:type="dxa"/>
            <w:shd w:val="clear" w:color="auto" w:fill="C6D9F1" w:themeFill="text2" w:themeFillTint="33"/>
          </w:tcPr>
          <w:p w:rsidR="00081F45" w:rsidRPr="00081F45" w:rsidRDefault="00081F45" w:rsidP="00081F45">
            <w:pPr>
              <w:pStyle w:val="vrstapredpisa"/>
              <w:spacing w:before="0" w:beforeAutospacing="0" w:after="0" w:afterAutospacing="0"/>
              <w:jc w:val="center"/>
              <w:rPr>
                <w:rFonts w:asciiTheme="minorHAnsi" w:hAnsiTheme="minorHAnsi"/>
                <w:b/>
              </w:rPr>
            </w:pPr>
            <w:r w:rsidRPr="00081F45">
              <w:rPr>
                <w:rFonts w:asciiTheme="minorHAnsi" w:hAnsiTheme="minorHAnsi"/>
                <w:b/>
              </w:rPr>
              <w:t>Am v %</w:t>
            </w:r>
          </w:p>
        </w:tc>
        <w:tc>
          <w:tcPr>
            <w:tcW w:w="2126" w:type="dxa"/>
            <w:shd w:val="clear" w:color="auto" w:fill="C6D9F1" w:themeFill="text2" w:themeFillTint="33"/>
          </w:tcPr>
          <w:p w:rsidR="00081F45" w:rsidRPr="00081F45" w:rsidRDefault="00081F45" w:rsidP="00081F45">
            <w:pPr>
              <w:pStyle w:val="vrstapredpisa"/>
              <w:spacing w:before="0" w:beforeAutospacing="0" w:after="0" w:afterAutospacing="0"/>
              <w:jc w:val="center"/>
              <w:rPr>
                <w:rFonts w:asciiTheme="minorHAnsi" w:hAnsiTheme="minorHAnsi"/>
                <w:b/>
              </w:rPr>
            </w:pPr>
            <w:r w:rsidRPr="00081F45">
              <w:rPr>
                <w:rFonts w:asciiTheme="minorHAnsi" w:hAnsiTheme="minorHAnsi"/>
                <w:b/>
              </w:rPr>
              <w:t>Am vrednost</w:t>
            </w:r>
          </w:p>
        </w:tc>
      </w:tr>
      <w:tr w:rsidR="00081F45" w:rsidTr="00081F45">
        <w:tc>
          <w:tcPr>
            <w:tcW w:w="3785" w:type="dxa"/>
          </w:tcPr>
          <w:p w:rsidR="00081F45" w:rsidRDefault="0035080D" w:rsidP="006E7534">
            <w:pPr>
              <w:pStyle w:val="vrstapredpisa"/>
              <w:spacing w:before="0" w:beforeAutospacing="0" w:after="0" w:afterAutospacing="0"/>
              <w:jc w:val="both"/>
              <w:rPr>
                <w:rFonts w:asciiTheme="minorHAnsi" w:hAnsiTheme="minorHAnsi"/>
              </w:rPr>
            </w:pPr>
            <w:r>
              <w:rPr>
                <w:rFonts w:asciiTheme="minorHAnsi" w:hAnsiTheme="minorHAnsi"/>
              </w:rPr>
              <w:t>Vodovodno omrežje</w:t>
            </w:r>
          </w:p>
        </w:tc>
        <w:tc>
          <w:tcPr>
            <w:tcW w:w="2702" w:type="dxa"/>
          </w:tcPr>
          <w:p w:rsidR="00081F45" w:rsidRDefault="00587E7C" w:rsidP="00081F45">
            <w:pPr>
              <w:pStyle w:val="vrstapredpisa"/>
              <w:spacing w:before="0" w:beforeAutospacing="0" w:after="0" w:afterAutospacing="0"/>
              <w:jc w:val="center"/>
              <w:rPr>
                <w:rFonts w:asciiTheme="minorHAnsi" w:hAnsiTheme="minorHAnsi"/>
              </w:rPr>
            </w:pPr>
            <w:r>
              <w:rPr>
                <w:rFonts w:asciiTheme="minorHAnsi" w:hAnsiTheme="minorHAnsi"/>
              </w:rPr>
              <w:t>2,858.204,46</w:t>
            </w:r>
          </w:p>
        </w:tc>
        <w:tc>
          <w:tcPr>
            <w:tcW w:w="1701" w:type="dxa"/>
          </w:tcPr>
          <w:p w:rsidR="00081F45" w:rsidRDefault="0035080D" w:rsidP="00081F45">
            <w:pPr>
              <w:pStyle w:val="vrstapredpisa"/>
              <w:spacing w:before="0" w:beforeAutospacing="0" w:after="0" w:afterAutospacing="0"/>
              <w:jc w:val="center"/>
              <w:rPr>
                <w:rFonts w:asciiTheme="minorHAnsi" w:hAnsiTheme="minorHAnsi"/>
              </w:rPr>
            </w:pPr>
            <w:r>
              <w:rPr>
                <w:rFonts w:asciiTheme="minorHAnsi" w:hAnsiTheme="minorHAnsi"/>
              </w:rPr>
              <w:t>2</w:t>
            </w:r>
          </w:p>
        </w:tc>
        <w:tc>
          <w:tcPr>
            <w:tcW w:w="2126" w:type="dxa"/>
          </w:tcPr>
          <w:p w:rsidR="00081F45" w:rsidRDefault="00587E7C" w:rsidP="00081F45">
            <w:pPr>
              <w:pStyle w:val="vrstapredpisa"/>
              <w:spacing w:before="0" w:beforeAutospacing="0" w:after="0" w:afterAutospacing="0"/>
              <w:jc w:val="center"/>
              <w:rPr>
                <w:rFonts w:asciiTheme="minorHAnsi" w:hAnsiTheme="minorHAnsi"/>
              </w:rPr>
            </w:pPr>
            <w:r>
              <w:rPr>
                <w:rFonts w:asciiTheme="minorHAnsi" w:hAnsiTheme="minorHAnsi"/>
              </w:rPr>
              <w:t>57.164,089</w:t>
            </w:r>
          </w:p>
        </w:tc>
      </w:tr>
      <w:tr w:rsidR="00081F45" w:rsidTr="00081F45">
        <w:tc>
          <w:tcPr>
            <w:tcW w:w="3785" w:type="dxa"/>
          </w:tcPr>
          <w:p w:rsidR="00081F45" w:rsidRDefault="0035080D" w:rsidP="006E7534">
            <w:pPr>
              <w:pStyle w:val="vrstapredpisa"/>
              <w:spacing w:before="0" w:beforeAutospacing="0" w:after="0" w:afterAutospacing="0"/>
              <w:jc w:val="both"/>
              <w:rPr>
                <w:rFonts w:asciiTheme="minorHAnsi" w:hAnsiTheme="minorHAnsi"/>
              </w:rPr>
            </w:pPr>
            <w:r>
              <w:rPr>
                <w:rFonts w:asciiTheme="minorHAnsi" w:hAnsiTheme="minorHAnsi"/>
              </w:rPr>
              <w:t>Vodohran in ostali objekti</w:t>
            </w:r>
          </w:p>
        </w:tc>
        <w:tc>
          <w:tcPr>
            <w:tcW w:w="2702" w:type="dxa"/>
          </w:tcPr>
          <w:p w:rsidR="00081F45" w:rsidRDefault="00587E7C" w:rsidP="00081F45">
            <w:pPr>
              <w:pStyle w:val="vrstapredpisa"/>
              <w:spacing w:before="0" w:beforeAutospacing="0" w:after="0" w:afterAutospacing="0"/>
              <w:jc w:val="center"/>
              <w:rPr>
                <w:rFonts w:asciiTheme="minorHAnsi" w:hAnsiTheme="minorHAnsi"/>
              </w:rPr>
            </w:pPr>
            <w:r>
              <w:rPr>
                <w:rFonts w:asciiTheme="minorHAnsi" w:hAnsiTheme="minorHAnsi"/>
              </w:rPr>
              <w:t>1,814.450,37</w:t>
            </w:r>
          </w:p>
        </w:tc>
        <w:tc>
          <w:tcPr>
            <w:tcW w:w="1701" w:type="dxa"/>
          </w:tcPr>
          <w:p w:rsidR="00081F45" w:rsidRDefault="0035080D" w:rsidP="00081F45">
            <w:pPr>
              <w:pStyle w:val="vrstapredpisa"/>
              <w:spacing w:before="0" w:beforeAutospacing="0" w:after="0" w:afterAutospacing="0"/>
              <w:jc w:val="center"/>
              <w:rPr>
                <w:rFonts w:asciiTheme="minorHAnsi" w:hAnsiTheme="minorHAnsi"/>
              </w:rPr>
            </w:pPr>
            <w:r>
              <w:rPr>
                <w:rFonts w:asciiTheme="minorHAnsi" w:hAnsiTheme="minorHAnsi"/>
              </w:rPr>
              <w:t>2,5</w:t>
            </w:r>
          </w:p>
        </w:tc>
        <w:tc>
          <w:tcPr>
            <w:tcW w:w="2126" w:type="dxa"/>
          </w:tcPr>
          <w:p w:rsidR="00081F45" w:rsidRDefault="00587E7C" w:rsidP="00081F45">
            <w:pPr>
              <w:pStyle w:val="vrstapredpisa"/>
              <w:spacing w:before="0" w:beforeAutospacing="0" w:after="0" w:afterAutospacing="0"/>
              <w:jc w:val="center"/>
              <w:rPr>
                <w:rFonts w:asciiTheme="minorHAnsi" w:hAnsiTheme="minorHAnsi"/>
              </w:rPr>
            </w:pPr>
            <w:r>
              <w:rPr>
                <w:rFonts w:asciiTheme="minorHAnsi" w:hAnsiTheme="minorHAnsi"/>
              </w:rPr>
              <w:t>45.361,26</w:t>
            </w:r>
          </w:p>
        </w:tc>
      </w:tr>
      <w:tr w:rsidR="00081F45" w:rsidTr="00081F45">
        <w:tc>
          <w:tcPr>
            <w:tcW w:w="3785" w:type="dxa"/>
          </w:tcPr>
          <w:p w:rsidR="00081F45" w:rsidRDefault="00587E7C" w:rsidP="006E7534">
            <w:pPr>
              <w:pStyle w:val="vrstapredpisa"/>
              <w:spacing w:before="0" w:beforeAutospacing="0" w:after="0" w:afterAutospacing="0"/>
              <w:jc w:val="both"/>
              <w:rPr>
                <w:rFonts w:asciiTheme="minorHAnsi" w:hAnsiTheme="minorHAnsi"/>
              </w:rPr>
            </w:pPr>
            <w:r>
              <w:rPr>
                <w:rFonts w:asciiTheme="minorHAnsi" w:hAnsiTheme="minorHAnsi"/>
              </w:rPr>
              <w:t>Projekti, nadzor….</w:t>
            </w:r>
          </w:p>
        </w:tc>
        <w:tc>
          <w:tcPr>
            <w:tcW w:w="2702" w:type="dxa"/>
          </w:tcPr>
          <w:p w:rsidR="00081F45" w:rsidRDefault="00587E7C" w:rsidP="00081F45">
            <w:pPr>
              <w:pStyle w:val="vrstapredpisa"/>
              <w:spacing w:before="0" w:beforeAutospacing="0" w:after="0" w:afterAutospacing="0"/>
              <w:jc w:val="center"/>
              <w:rPr>
                <w:rFonts w:asciiTheme="minorHAnsi" w:hAnsiTheme="minorHAnsi"/>
              </w:rPr>
            </w:pPr>
            <w:r>
              <w:rPr>
                <w:rFonts w:asciiTheme="minorHAnsi" w:hAnsiTheme="minorHAnsi"/>
              </w:rPr>
              <w:t>178.394,40</w:t>
            </w:r>
          </w:p>
        </w:tc>
        <w:tc>
          <w:tcPr>
            <w:tcW w:w="1701" w:type="dxa"/>
          </w:tcPr>
          <w:p w:rsidR="00081F45" w:rsidRDefault="00587E7C" w:rsidP="00081F45">
            <w:pPr>
              <w:pStyle w:val="vrstapredpisa"/>
              <w:spacing w:before="0" w:beforeAutospacing="0" w:after="0" w:afterAutospacing="0"/>
              <w:jc w:val="center"/>
              <w:rPr>
                <w:rFonts w:asciiTheme="minorHAnsi" w:hAnsiTheme="minorHAnsi"/>
              </w:rPr>
            </w:pPr>
            <w:r>
              <w:rPr>
                <w:rFonts w:asciiTheme="minorHAnsi" w:hAnsiTheme="minorHAnsi"/>
              </w:rPr>
              <w:t>10</w:t>
            </w:r>
          </w:p>
        </w:tc>
        <w:tc>
          <w:tcPr>
            <w:tcW w:w="2126" w:type="dxa"/>
          </w:tcPr>
          <w:p w:rsidR="00081F45" w:rsidRDefault="00587E7C" w:rsidP="00081F45">
            <w:pPr>
              <w:pStyle w:val="vrstapredpisa"/>
              <w:spacing w:before="0" w:beforeAutospacing="0" w:after="0" w:afterAutospacing="0"/>
              <w:jc w:val="center"/>
              <w:rPr>
                <w:rFonts w:asciiTheme="minorHAnsi" w:hAnsiTheme="minorHAnsi"/>
              </w:rPr>
            </w:pPr>
            <w:r>
              <w:rPr>
                <w:rFonts w:asciiTheme="minorHAnsi" w:hAnsiTheme="minorHAnsi"/>
              </w:rPr>
              <w:t>17.839,44</w:t>
            </w:r>
          </w:p>
        </w:tc>
      </w:tr>
      <w:tr w:rsidR="00081F45" w:rsidTr="00081F45">
        <w:tc>
          <w:tcPr>
            <w:tcW w:w="3785" w:type="dxa"/>
          </w:tcPr>
          <w:p w:rsidR="00081F45" w:rsidRDefault="00081F45" w:rsidP="006E7534">
            <w:pPr>
              <w:pStyle w:val="vrstapredpisa"/>
              <w:spacing w:before="0" w:beforeAutospacing="0" w:after="0" w:afterAutospacing="0"/>
              <w:jc w:val="both"/>
              <w:rPr>
                <w:rFonts w:asciiTheme="minorHAnsi" w:hAnsiTheme="minorHAnsi"/>
              </w:rPr>
            </w:pPr>
          </w:p>
        </w:tc>
        <w:tc>
          <w:tcPr>
            <w:tcW w:w="2702" w:type="dxa"/>
          </w:tcPr>
          <w:p w:rsidR="00081F45" w:rsidRDefault="00081F45" w:rsidP="00081F45">
            <w:pPr>
              <w:pStyle w:val="vrstapredpisa"/>
              <w:spacing w:before="0" w:beforeAutospacing="0" w:after="0" w:afterAutospacing="0"/>
              <w:jc w:val="center"/>
              <w:rPr>
                <w:rFonts w:asciiTheme="minorHAnsi" w:hAnsiTheme="minorHAnsi"/>
              </w:rPr>
            </w:pPr>
          </w:p>
        </w:tc>
        <w:tc>
          <w:tcPr>
            <w:tcW w:w="1701" w:type="dxa"/>
          </w:tcPr>
          <w:p w:rsidR="00081F45" w:rsidRDefault="00081F45" w:rsidP="00081F45">
            <w:pPr>
              <w:pStyle w:val="vrstapredpisa"/>
              <w:spacing w:before="0" w:beforeAutospacing="0" w:after="0" w:afterAutospacing="0"/>
              <w:jc w:val="center"/>
              <w:rPr>
                <w:rFonts w:asciiTheme="minorHAnsi" w:hAnsiTheme="minorHAnsi"/>
              </w:rPr>
            </w:pPr>
          </w:p>
        </w:tc>
        <w:tc>
          <w:tcPr>
            <w:tcW w:w="2126" w:type="dxa"/>
          </w:tcPr>
          <w:p w:rsidR="00081F45" w:rsidRDefault="00081F45" w:rsidP="00081F45">
            <w:pPr>
              <w:pStyle w:val="vrstapredpisa"/>
              <w:spacing w:before="0" w:beforeAutospacing="0" w:after="0" w:afterAutospacing="0"/>
              <w:jc w:val="center"/>
              <w:rPr>
                <w:rFonts w:asciiTheme="minorHAnsi" w:hAnsiTheme="minorHAnsi"/>
              </w:rPr>
            </w:pPr>
          </w:p>
        </w:tc>
      </w:tr>
      <w:tr w:rsidR="00081F45" w:rsidTr="00081F45">
        <w:tc>
          <w:tcPr>
            <w:tcW w:w="3785" w:type="dxa"/>
          </w:tcPr>
          <w:p w:rsidR="00081F45" w:rsidRPr="00081F45" w:rsidRDefault="00081F45" w:rsidP="006E7534">
            <w:pPr>
              <w:pStyle w:val="vrstapredpisa"/>
              <w:spacing w:before="0" w:beforeAutospacing="0" w:after="0" w:afterAutospacing="0"/>
              <w:jc w:val="both"/>
              <w:rPr>
                <w:rFonts w:asciiTheme="minorHAnsi" w:hAnsiTheme="minorHAnsi"/>
                <w:b/>
              </w:rPr>
            </w:pPr>
            <w:r w:rsidRPr="00081F45">
              <w:rPr>
                <w:rFonts w:asciiTheme="minorHAnsi" w:hAnsiTheme="minorHAnsi"/>
                <w:b/>
              </w:rPr>
              <w:t>Skupaj</w:t>
            </w:r>
          </w:p>
        </w:tc>
        <w:tc>
          <w:tcPr>
            <w:tcW w:w="2702" w:type="dxa"/>
          </w:tcPr>
          <w:p w:rsidR="00081F45" w:rsidRPr="00081F45" w:rsidRDefault="00587E7C" w:rsidP="00081F45">
            <w:pPr>
              <w:pStyle w:val="vrstapredpisa"/>
              <w:spacing w:before="0" w:beforeAutospacing="0" w:after="0" w:afterAutospacing="0"/>
              <w:jc w:val="center"/>
              <w:rPr>
                <w:rFonts w:asciiTheme="minorHAnsi" w:hAnsiTheme="minorHAnsi"/>
                <w:b/>
              </w:rPr>
            </w:pPr>
            <w:r>
              <w:rPr>
                <w:rFonts w:asciiTheme="minorHAnsi" w:hAnsiTheme="minorHAnsi"/>
                <w:b/>
              </w:rPr>
              <w:t>4,851.049,23</w:t>
            </w:r>
          </w:p>
        </w:tc>
        <w:tc>
          <w:tcPr>
            <w:tcW w:w="1701" w:type="dxa"/>
          </w:tcPr>
          <w:p w:rsidR="00081F45" w:rsidRPr="00081F45" w:rsidRDefault="00081F45" w:rsidP="00081F45">
            <w:pPr>
              <w:pStyle w:val="vrstapredpisa"/>
              <w:spacing w:before="0" w:beforeAutospacing="0" w:after="0" w:afterAutospacing="0"/>
              <w:jc w:val="center"/>
              <w:rPr>
                <w:rFonts w:asciiTheme="minorHAnsi" w:hAnsiTheme="minorHAnsi"/>
                <w:b/>
              </w:rPr>
            </w:pPr>
          </w:p>
        </w:tc>
        <w:tc>
          <w:tcPr>
            <w:tcW w:w="2126" w:type="dxa"/>
          </w:tcPr>
          <w:p w:rsidR="00081F45" w:rsidRPr="00081F45" w:rsidRDefault="00587E7C" w:rsidP="00081F45">
            <w:pPr>
              <w:pStyle w:val="vrstapredpisa"/>
              <w:spacing w:before="0" w:beforeAutospacing="0" w:after="0" w:afterAutospacing="0"/>
              <w:jc w:val="center"/>
              <w:rPr>
                <w:rFonts w:asciiTheme="minorHAnsi" w:hAnsiTheme="minorHAnsi"/>
                <w:b/>
              </w:rPr>
            </w:pPr>
            <w:r>
              <w:rPr>
                <w:rFonts w:asciiTheme="minorHAnsi" w:hAnsiTheme="minorHAnsi"/>
                <w:b/>
              </w:rPr>
              <w:t>120.364,789</w:t>
            </w:r>
          </w:p>
        </w:tc>
      </w:tr>
    </w:tbl>
    <w:p w:rsidR="00607F32" w:rsidRDefault="00607F32" w:rsidP="006E7534">
      <w:pPr>
        <w:pStyle w:val="vrstapredpisa"/>
        <w:spacing w:before="0" w:beforeAutospacing="0" w:after="0" w:afterAutospacing="0"/>
        <w:jc w:val="both"/>
        <w:rPr>
          <w:rFonts w:asciiTheme="minorHAnsi" w:hAnsiTheme="minorHAnsi"/>
        </w:rPr>
      </w:pPr>
    </w:p>
    <w:p w:rsidR="006B1B23" w:rsidRDefault="006B1B23" w:rsidP="004338C7">
      <w:pPr>
        <w:spacing w:after="0" w:line="240" w:lineRule="auto"/>
        <w:rPr>
          <w:b/>
        </w:rPr>
      </w:pPr>
    </w:p>
    <w:p w:rsidR="006B1B23" w:rsidRDefault="006B1B23" w:rsidP="004338C7">
      <w:pPr>
        <w:spacing w:after="0" w:line="240" w:lineRule="auto"/>
        <w:rPr>
          <w:b/>
        </w:rPr>
      </w:pPr>
    </w:p>
    <w:p w:rsidR="004338C7" w:rsidRPr="00081F45" w:rsidRDefault="00081F45" w:rsidP="00081F45">
      <w:pPr>
        <w:rPr>
          <w:b/>
          <w:sz w:val="24"/>
          <w:szCs w:val="24"/>
        </w:rPr>
      </w:pPr>
      <w:r>
        <w:rPr>
          <w:b/>
          <w:sz w:val="24"/>
          <w:szCs w:val="24"/>
        </w:rPr>
        <w:t>3.2 Vrednost korigirana</w:t>
      </w:r>
      <w:r w:rsidR="00710623" w:rsidRPr="00AC3416">
        <w:rPr>
          <w:b/>
          <w:sz w:val="24"/>
          <w:szCs w:val="24"/>
        </w:rPr>
        <w:t xml:space="preserve"> z</w:t>
      </w:r>
      <w:r w:rsidR="00607F32" w:rsidRPr="00AC3416">
        <w:rPr>
          <w:b/>
          <w:sz w:val="24"/>
          <w:szCs w:val="24"/>
        </w:rPr>
        <w:t xml:space="preserve"> delež</w:t>
      </w:r>
      <w:r w:rsidR="00710623" w:rsidRPr="00AC3416">
        <w:rPr>
          <w:b/>
          <w:sz w:val="24"/>
          <w:szCs w:val="24"/>
        </w:rPr>
        <w:t>em</w:t>
      </w:r>
      <w:r w:rsidR="00607F32" w:rsidRPr="00AC3416">
        <w:rPr>
          <w:b/>
          <w:sz w:val="24"/>
          <w:szCs w:val="24"/>
        </w:rPr>
        <w:t xml:space="preserve"> izkoriščenosti </w:t>
      </w:r>
    </w:p>
    <w:p w:rsidR="000E7D03" w:rsidRPr="00607F32" w:rsidRDefault="001C10F3" w:rsidP="000E7D03">
      <w:pPr>
        <w:spacing w:after="0" w:line="240" w:lineRule="auto"/>
        <w:jc w:val="both"/>
        <w:rPr>
          <w:rFonts w:ascii="Calibri" w:eastAsia="Times New Roman" w:hAnsi="Calibri" w:cs="Times New Roman"/>
          <w:bCs/>
          <w:color w:val="000000"/>
        </w:rPr>
      </w:pPr>
      <w:r>
        <w:rPr>
          <w:rFonts w:eastAsia="Times New Roman" w:cs="Times New Roman"/>
          <w:sz w:val="24"/>
          <w:szCs w:val="24"/>
        </w:rPr>
        <w:t>Korigirana vrednost</w:t>
      </w:r>
    </w:p>
    <w:tbl>
      <w:tblPr>
        <w:tblW w:w="2280" w:type="pct"/>
        <w:tblLayout w:type="fixed"/>
        <w:tblCellMar>
          <w:left w:w="70" w:type="dxa"/>
          <w:right w:w="70" w:type="dxa"/>
        </w:tblCellMar>
        <w:tblLook w:val="04A0" w:firstRow="1" w:lastRow="0" w:firstColumn="1" w:lastColumn="0" w:noHBand="0" w:noVBand="1"/>
      </w:tblPr>
      <w:tblGrid>
        <w:gridCol w:w="4182"/>
        <w:gridCol w:w="2267"/>
      </w:tblGrid>
      <w:tr w:rsidR="000E7D03" w:rsidRPr="007A2D40" w:rsidTr="006348DA">
        <w:trPr>
          <w:trHeight w:val="300"/>
        </w:trPr>
        <w:tc>
          <w:tcPr>
            <w:tcW w:w="3242"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0E7D03" w:rsidRPr="007A2D40" w:rsidRDefault="001C10F3" w:rsidP="006348D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Osnovno sredstvo</w:t>
            </w:r>
          </w:p>
        </w:tc>
        <w:tc>
          <w:tcPr>
            <w:tcW w:w="1758" w:type="pct"/>
            <w:tcBorders>
              <w:top w:val="single" w:sz="4" w:space="0" w:color="auto"/>
              <w:left w:val="nil"/>
              <w:bottom w:val="single" w:sz="4" w:space="0" w:color="auto"/>
              <w:right w:val="single" w:sz="4" w:space="0" w:color="auto"/>
            </w:tcBorders>
            <w:shd w:val="clear" w:color="000000" w:fill="DBEEF3"/>
            <w:vAlign w:val="bottom"/>
            <w:hideMark/>
          </w:tcPr>
          <w:p w:rsidR="000E7D03" w:rsidRPr="001C10F3" w:rsidRDefault="001C10F3" w:rsidP="006348DA">
            <w:pPr>
              <w:spacing w:after="0" w:line="240" w:lineRule="auto"/>
              <w:jc w:val="center"/>
              <w:rPr>
                <w:rFonts w:ascii="Calibri" w:eastAsia="Times New Roman" w:hAnsi="Calibri" w:cs="Times New Roman"/>
                <w:b/>
                <w:bCs/>
                <w:color w:val="000000"/>
                <w:sz w:val="24"/>
                <w:szCs w:val="24"/>
              </w:rPr>
            </w:pPr>
            <w:r w:rsidRPr="001C10F3">
              <w:rPr>
                <w:rFonts w:ascii="Calibri" w:eastAsia="Times New Roman" w:hAnsi="Calibri" w:cs="Times New Roman"/>
                <w:b/>
                <w:bCs/>
                <w:color w:val="000000"/>
                <w:sz w:val="24"/>
                <w:szCs w:val="24"/>
              </w:rPr>
              <w:t>vrednosti</w:t>
            </w:r>
          </w:p>
        </w:tc>
      </w:tr>
      <w:tr w:rsidR="000E7D03" w:rsidRPr="007A2D40" w:rsidTr="006348DA">
        <w:trPr>
          <w:trHeight w:val="300"/>
        </w:trPr>
        <w:tc>
          <w:tcPr>
            <w:tcW w:w="3242" w:type="pct"/>
            <w:tcBorders>
              <w:top w:val="nil"/>
              <w:left w:val="single" w:sz="4" w:space="0" w:color="auto"/>
              <w:bottom w:val="single" w:sz="4" w:space="0" w:color="auto"/>
              <w:right w:val="single" w:sz="4" w:space="0" w:color="auto"/>
            </w:tcBorders>
            <w:shd w:val="clear" w:color="auto" w:fill="auto"/>
            <w:noWrap/>
            <w:vAlign w:val="center"/>
            <w:hideMark/>
          </w:tcPr>
          <w:p w:rsidR="000E7D03" w:rsidRPr="007A2D40" w:rsidRDefault="001C10F3" w:rsidP="006348D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VREDNOST SKUPAJ</w:t>
            </w:r>
          </w:p>
        </w:tc>
        <w:tc>
          <w:tcPr>
            <w:tcW w:w="1758" w:type="pct"/>
            <w:tcBorders>
              <w:top w:val="nil"/>
              <w:left w:val="nil"/>
              <w:bottom w:val="single" w:sz="4" w:space="0" w:color="auto"/>
              <w:right w:val="single" w:sz="4" w:space="0" w:color="auto"/>
            </w:tcBorders>
            <w:shd w:val="clear" w:color="auto" w:fill="auto"/>
            <w:noWrap/>
            <w:vAlign w:val="bottom"/>
            <w:hideMark/>
          </w:tcPr>
          <w:p w:rsidR="000E7D03" w:rsidRPr="001C10F3" w:rsidRDefault="00587E7C" w:rsidP="006348DA">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4,851.049,23</w:t>
            </w:r>
          </w:p>
        </w:tc>
      </w:tr>
      <w:tr w:rsidR="000E7D03" w:rsidRPr="007A2D40" w:rsidTr="006348DA">
        <w:trPr>
          <w:trHeight w:val="300"/>
        </w:trPr>
        <w:tc>
          <w:tcPr>
            <w:tcW w:w="3242" w:type="pct"/>
            <w:tcBorders>
              <w:top w:val="nil"/>
              <w:left w:val="single" w:sz="4" w:space="0" w:color="auto"/>
              <w:bottom w:val="single" w:sz="4" w:space="0" w:color="auto"/>
              <w:right w:val="single" w:sz="4" w:space="0" w:color="auto"/>
            </w:tcBorders>
            <w:shd w:val="clear" w:color="000000" w:fill="DBEEF3"/>
            <w:noWrap/>
            <w:vAlign w:val="center"/>
          </w:tcPr>
          <w:p w:rsidR="000E7D03" w:rsidRPr="007A2D40" w:rsidRDefault="000E7D03" w:rsidP="006348DA">
            <w:pPr>
              <w:spacing w:after="0" w:line="240" w:lineRule="auto"/>
              <w:jc w:val="right"/>
              <w:rPr>
                <w:rFonts w:ascii="Calibri" w:eastAsia="Times New Roman" w:hAnsi="Calibri" w:cs="Times New Roman"/>
                <w:b/>
                <w:bCs/>
                <w:color w:val="000000"/>
                <w:sz w:val="18"/>
                <w:szCs w:val="18"/>
              </w:rPr>
            </w:pPr>
          </w:p>
        </w:tc>
        <w:tc>
          <w:tcPr>
            <w:tcW w:w="1758" w:type="pct"/>
            <w:tcBorders>
              <w:top w:val="nil"/>
              <w:left w:val="nil"/>
              <w:bottom w:val="single" w:sz="4" w:space="0" w:color="auto"/>
              <w:right w:val="single" w:sz="4" w:space="0" w:color="auto"/>
            </w:tcBorders>
            <w:shd w:val="clear" w:color="000000" w:fill="DBEEF3"/>
            <w:noWrap/>
            <w:vAlign w:val="bottom"/>
          </w:tcPr>
          <w:p w:rsidR="000E7D03" w:rsidRPr="001C10F3" w:rsidRDefault="000E7D03" w:rsidP="006348DA">
            <w:pPr>
              <w:spacing w:after="0" w:line="240" w:lineRule="auto"/>
              <w:jc w:val="right"/>
              <w:rPr>
                <w:rFonts w:ascii="Calibri" w:eastAsia="Times New Roman" w:hAnsi="Calibri" w:cs="Times New Roman"/>
                <w:b/>
                <w:bCs/>
                <w:color w:val="000000"/>
                <w:sz w:val="24"/>
                <w:szCs w:val="24"/>
              </w:rPr>
            </w:pPr>
          </w:p>
        </w:tc>
      </w:tr>
      <w:tr w:rsidR="000E7D03" w:rsidRPr="007A2D40" w:rsidTr="006348DA">
        <w:trPr>
          <w:trHeight w:val="300"/>
        </w:trPr>
        <w:tc>
          <w:tcPr>
            <w:tcW w:w="3242" w:type="pct"/>
            <w:tcBorders>
              <w:top w:val="nil"/>
              <w:left w:val="single" w:sz="4" w:space="0" w:color="auto"/>
              <w:bottom w:val="single" w:sz="4" w:space="0" w:color="auto"/>
              <w:right w:val="single" w:sz="4" w:space="0" w:color="auto"/>
            </w:tcBorders>
            <w:shd w:val="clear" w:color="auto" w:fill="auto"/>
            <w:noWrap/>
            <w:vAlign w:val="bottom"/>
            <w:hideMark/>
          </w:tcPr>
          <w:p w:rsidR="000E7D03" w:rsidRPr="007A2D40" w:rsidRDefault="000E7D03" w:rsidP="006348DA">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Izkoriščenost v %</w:t>
            </w:r>
          </w:p>
        </w:tc>
        <w:tc>
          <w:tcPr>
            <w:tcW w:w="1758" w:type="pct"/>
            <w:tcBorders>
              <w:top w:val="nil"/>
              <w:left w:val="nil"/>
              <w:bottom w:val="single" w:sz="4" w:space="0" w:color="auto"/>
              <w:right w:val="single" w:sz="4" w:space="0" w:color="auto"/>
            </w:tcBorders>
            <w:shd w:val="clear" w:color="auto" w:fill="auto"/>
            <w:noWrap/>
            <w:vAlign w:val="bottom"/>
            <w:hideMark/>
          </w:tcPr>
          <w:p w:rsidR="000E7D03" w:rsidRPr="001C10F3" w:rsidRDefault="0035080D" w:rsidP="006348DA">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36,185</w:t>
            </w:r>
          </w:p>
        </w:tc>
      </w:tr>
      <w:tr w:rsidR="000E7D03" w:rsidRPr="007A2D40" w:rsidTr="006348DA">
        <w:trPr>
          <w:trHeight w:val="300"/>
        </w:trPr>
        <w:tc>
          <w:tcPr>
            <w:tcW w:w="3242" w:type="pct"/>
            <w:tcBorders>
              <w:top w:val="nil"/>
              <w:left w:val="single" w:sz="4" w:space="0" w:color="auto"/>
              <w:bottom w:val="single" w:sz="4" w:space="0" w:color="auto"/>
              <w:right w:val="single" w:sz="4" w:space="0" w:color="auto"/>
            </w:tcBorders>
            <w:shd w:val="clear" w:color="000000" w:fill="DBEEF3"/>
            <w:noWrap/>
            <w:vAlign w:val="bottom"/>
            <w:hideMark/>
          </w:tcPr>
          <w:p w:rsidR="000E7D03" w:rsidRPr="007A2D40" w:rsidRDefault="000E7D03" w:rsidP="006348DA">
            <w:pPr>
              <w:spacing w:after="0" w:line="240" w:lineRule="auto"/>
              <w:rPr>
                <w:rFonts w:ascii="Calibri" w:eastAsia="Times New Roman" w:hAnsi="Calibri" w:cs="Times New Roman"/>
                <w:b/>
                <w:bCs/>
                <w:color w:val="000000"/>
                <w:sz w:val="18"/>
                <w:szCs w:val="18"/>
              </w:rPr>
            </w:pPr>
            <w:r w:rsidRPr="007A2D40">
              <w:rPr>
                <w:rFonts w:ascii="Calibri" w:eastAsia="Times New Roman" w:hAnsi="Calibri" w:cs="Times New Roman"/>
                <w:b/>
                <w:bCs/>
                <w:color w:val="000000"/>
                <w:sz w:val="18"/>
                <w:szCs w:val="18"/>
              </w:rPr>
              <w:t xml:space="preserve"> KORIGIRANA VREDNOST PO DELEŽU IZKORIŠČENOSTI</w:t>
            </w:r>
          </w:p>
        </w:tc>
        <w:tc>
          <w:tcPr>
            <w:tcW w:w="1758" w:type="pct"/>
            <w:tcBorders>
              <w:top w:val="nil"/>
              <w:left w:val="nil"/>
              <w:bottom w:val="single" w:sz="4" w:space="0" w:color="auto"/>
              <w:right w:val="single" w:sz="4" w:space="0" w:color="auto"/>
            </w:tcBorders>
            <w:shd w:val="clear" w:color="000000" w:fill="DBEEF3"/>
            <w:noWrap/>
            <w:vAlign w:val="bottom"/>
            <w:hideMark/>
          </w:tcPr>
          <w:p w:rsidR="000E7D03" w:rsidRPr="001C10F3" w:rsidRDefault="00587E7C" w:rsidP="006348DA">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1,755.352,164</w:t>
            </w:r>
          </w:p>
        </w:tc>
      </w:tr>
    </w:tbl>
    <w:p w:rsidR="000E7D03" w:rsidRDefault="000E7D03" w:rsidP="000E7D03">
      <w:pPr>
        <w:spacing w:after="0" w:line="240" w:lineRule="auto"/>
        <w:jc w:val="both"/>
        <w:rPr>
          <w:rFonts w:ascii="Calibri" w:eastAsia="Times New Roman" w:hAnsi="Calibri" w:cs="Times New Roman"/>
          <w:bCs/>
          <w:color w:val="000000"/>
        </w:rPr>
      </w:pPr>
    </w:p>
    <w:p w:rsidR="000E7D03" w:rsidRDefault="000E7D03" w:rsidP="000E7D03">
      <w:pPr>
        <w:spacing w:after="0" w:line="240" w:lineRule="auto"/>
        <w:jc w:val="both"/>
        <w:rPr>
          <w:rFonts w:ascii="Calibri" w:eastAsia="Times New Roman" w:hAnsi="Calibri" w:cs="Times New Roman"/>
          <w:bCs/>
          <w:color w:val="000000"/>
        </w:rPr>
      </w:pPr>
    </w:p>
    <w:p w:rsidR="00377DC4" w:rsidRPr="00AC3416" w:rsidRDefault="00377DC4">
      <w:pPr>
        <w:rPr>
          <w:sz w:val="24"/>
          <w:szCs w:val="24"/>
        </w:rPr>
      </w:pPr>
      <w:r w:rsidRPr="00AC3416">
        <w:rPr>
          <w:sz w:val="24"/>
          <w:szCs w:val="24"/>
        </w:rPr>
        <w:br w:type="page"/>
      </w:r>
    </w:p>
    <w:p w:rsidR="00101761" w:rsidRPr="00AC3416" w:rsidRDefault="00710623" w:rsidP="00101761">
      <w:pPr>
        <w:rPr>
          <w:b/>
          <w:sz w:val="24"/>
          <w:szCs w:val="24"/>
        </w:rPr>
      </w:pPr>
      <w:r w:rsidRPr="00AC3416">
        <w:rPr>
          <w:b/>
          <w:sz w:val="24"/>
          <w:szCs w:val="24"/>
        </w:rPr>
        <w:lastRenderedPageBreak/>
        <w:t>3.3 Vrednosti pred in po korekciji zaradi izkoriščenosti</w:t>
      </w:r>
    </w:p>
    <w:p w:rsidR="00377DC4" w:rsidRPr="001C10F3" w:rsidRDefault="00D61D08" w:rsidP="00377DC4">
      <w:pPr>
        <w:pStyle w:val="vrstapredpisa"/>
        <w:spacing w:before="0" w:beforeAutospacing="0" w:after="0" w:afterAutospacing="0"/>
        <w:jc w:val="both"/>
        <w:rPr>
          <w:rFonts w:asciiTheme="minorHAnsi" w:hAnsiTheme="minorHAnsi"/>
          <w:b/>
        </w:rPr>
      </w:pPr>
      <w:r w:rsidRPr="001C10F3">
        <w:rPr>
          <w:rFonts w:ascii="Calibri" w:hAnsi="Calibri"/>
          <w:b/>
          <w:bCs/>
          <w:color w:val="000000"/>
          <w:szCs w:val="22"/>
        </w:rPr>
        <w:t>Vrednost</w:t>
      </w:r>
      <w:r w:rsidR="00377DC4" w:rsidRPr="001C10F3">
        <w:rPr>
          <w:rFonts w:ascii="Calibri" w:hAnsi="Calibri"/>
          <w:b/>
          <w:bCs/>
          <w:color w:val="000000"/>
          <w:szCs w:val="22"/>
        </w:rPr>
        <w:t xml:space="preserve"> </w:t>
      </w:r>
      <w:r w:rsidR="00377DC4" w:rsidRPr="001C10F3">
        <w:rPr>
          <w:rFonts w:ascii="Calibri" w:hAnsi="Calibri"/>
          <w:b/>
          <w:bCs/>
          <w:caps/>
          <w:color w:val="000000"/>
          <w:szCs w:val="22"/>
        </w:rPr>
        <w:t>pred</w:t>
      </w:r>
      <w:r w:rsidR="001C10F3" w:rsidRPr="001C10F3">
        <w:rPr>
          <w:rFonts w:ascii="Calibri" w:hAnsi="Calibri"/>
          <w:b/>
          <w:bCs/>
          <w:color w:val="000000"/>
          <w:szCs w:val="22"/>
        </w:rPr>
        <w:t xml:space="preserve"> IN PO korekciji</w:t>
      </w:r>
      <w:r w:rsidR="00377DC4" w:rsidRPr="001C10F3">
        <w:rPr>
          <w:rFonts w:ascii="Calibri" w:hAnsi="Calibri"/>
          <w:b/>
          <w:bCs/>
          <w:color w:val="000000"/>
          <w:szCs w:val="22"/>
        </w:rPr>
        <w:t xml:space="preserve"> zaradi izkoriščenosti </w:t>
      </w:r>
      <w:r w:rsidRPr="001C10F3">
        <w:rPr>
          <w:rFonts w:ascii="Calibri" w:hAnsi="Calibri"/>
          <w:b/>
          <w:bCs/>
          <w:color w:val="000000"/>
          <w:szCs w:val="22"/>
        </w:rPr>
        <w:t xml:space="preserve"> </w:t>
      </w:r>
    </w:p>
    <w:tbl>
      <w:tblPr>
        <w:tblW w:w="3381" w:type="pct"/>
        <w:tblCellMar>
          <w:left w:w="70" w:type="dxa"/>
          <w:right w:w="70" w:type="dxa"/>
        </w:tblCellMar>
        <w:tblLook w:val="04A0" w:firstRow="1" w:lastRow="0" w:firstColumn="1" w:lastColumn="0" w:noHBand="0" w:noVBand="1"/>
      </w:tblPr>
      <w:tblGrid>
        <w:gridCol w:w="4181"/>
        <w:gridCol w:w="2691"/>
        <w:gridCol w:w="2691"/>
      </w:tblGrid>
      <w:tr w:rsidR="001C10F3" w:rsidRPr="00764AEE" w:rsidTr="001C10F3">
        <w:trPr>
          <w:trHeight w:val="300"/>
        </w:trPr>
        <w:tc>
          <w:tcPr>
            <w:tcW w:w="2186" w:type="pct"/>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1C10F3" w:rsidRPr="00764AEE" w:rsidRDefault="001C10F3" w:rsidP="00764AE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OS</w:t>
            </w:r>
          </w:p>
        </w:tc>
        <w:tc>
          <w:tcPr>
            <w:tcW w:w="1407" w:type="pct"/>
            <w:tcBorders>
              <w:top w:val="single" w:sz="4" w:space="0" w:color="auto"/>
              <w:left w:val="nil"/>
              <w:bottom w:val="single" w:sz="4" w:space="0" w:color="auto"/>
              <w:right w:val="single" w:sz="4" w:space="0" w:color="auto"/>
            </w:tcBorders>
            <w:shd w:val="clear" w:color="000000" w:fill="DBEEF3"/>
            <w:vAlign w:val="bottom"/>
            <w:hideMark/>
          </w:tcPr>
          <w:p w:rsidR="001C10F3" w:rsidRPr="001C10F3" w:rsidRDefault="001C10F3" w:rsidP="00764AE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vrednost</w:t>
            </w:r>
          </w:p>
        </w:tc>
        <w:tc>
          <w:tcPr>
            <w:tcW w:w="1407" w:type="pct"/>
            <w:tcBorders>
              <w:top w:val="single" w:sz="4" w:space="0" w:color="auto"/>
              <w:left w:val="nil"/>
              <w:bottom w:val="single" w:sz="4" w:space="0" w:color="auto"/>
              <w:right w:val="single" w:sz="4" w:space="0" w:color="auto"/>
            </w:tcBorders>
            <w:shd w:val="clear" w:color="000000" w:fill="DBEEF3"/>
          </w:tcPr>
          <w:p w:rsidR="001C10F3" w:rsidRPr="001C10F3" w:rsidRDefault="001C10F3" w:rsidP="00764AEE">
            <w:pPr>
              <w:spacing w:after="0" w:line="240" w:lineRule="auto"/>
              <w:jc w:val="center"/>
              <w:rPr>
                <w:rFonts w:ascii="Calibri" w:eastAsia="Times New Roman" w:hAnsi="Calibri" w:cs="Times New Roman"/>
                <w:b/>
                <w:bCs/>
                <w:color w:val="000000"/>
                <w:sz w:val="24"/>
                <w:szCs w:val="24"/>
              </w:rPr>
            </w:pPr>
            <w:r w:rsidRPr="001C10F3">
              <w:rPr>
                <w:rFonts w:ascii="Calibri" w:eastAsia="Times New Roman" w:hAnsi="Calibri" w:cs="Times New Roman"/>
                <w:b/>
                <w:bCs/>
                <w:color w:val="000000"/>
                <w:sz w:val="24"/>
                <w:szCs w:val="24"/>
              </w:rPr>
              <w:t>amortizacija</w:t>
            </w:r>
          </w:p>
        </w:tc>
      </w:tr>
      <w:tr w:rsidR="001C10F3" w:rsidRPr="00764AEE" w:rsidTr="001C10F3">
        <w:trPr>
          <w:trHeight w:val="300"/>
        </w:trPr>
        <w:tc>
          <w:tcPr>
            <w:tcW w:w="2186" w:type="pct"/>
            <w:tcBorders>
              <w:top w:val="nil"/>
              <w:left w:val="single" w:sz="4" w:space="0" w:color="auto"/>
              <w:bottom w:val="single" w:sz="4" w:space="0" w:color="auto"/>
              <w:right w:val="single" w:sz="4" w:space="0" w:color="auto"/>
            </w:tcBorders>
            <w:shd w:val="clear" w:color="000000" w:fill="DBEEF3"/>
            <w:vAlign w:val="bottom"/>
            <w:hideMark/>
          </w:tcPr>
          <w:p w:rsidR="001C10F3" w:rsidRPr="001C10F3" w:rsidRDefault="001C10F3" w:rsidP="00764AE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Vodovodni sistem občine pred korekcijo</w:t>
            </w:r>
          </w:p>
        </w:tc>
        <w:tc>
          <w:tcPr>
            <w:tcW w:w="1407" w:type="pct"/>
            <w:tcBorders>
              <w:top w:val="nil"/>
              <w:left w:val="nil"/>
              <w:bottom w:val="single" w:sz="4" w:space="0" w:color="auto"/>
              <w:right w:val="single" w:sz="4" w:space="0" w:color="auto"/>
            </w:tcBorders>
            <w:shd w:val="clear" w:color="auto" w:fill="auto"/>
            <w:vAlign w:val="bottom"/>
          </w:tcPr>
          <w:p w:rsidR="001C10F3" w:rsidRPr="001C10F3" w:rsidRDefault="00587E7C" w:rsidP="00B21489">
            <w:pPr>
              <w:spacing w:after="0"/>
              <w:jc w:val="right"/>
              <w:rPr>
                <w:rFonts w:ascii="Calibri" w:hAnsi="Calibri"/>
                <w:color w:val="000000"/>
                <w:sz w:val="24"/>
                <w:szCs w:val="24"/>
              </w:rPr>
            </w:pPr>
            <w:r>
              <w:rPr>
                <w:rFonts w:ascii="Calibri" w:hAnsi="Calibri"/>
                <w:color w:val="000000"/>
                <w:sz w:val="24"/>
                <w:szCs w:val="24"/>
              </w:rPr>
              <w:t>4,851.049,23</w:t>
            </w:r>
          </w:p>
        </w:tc>
        <w:tc>
          <w:tcPr>
            <w:tcW w:w="1407" w:type="pct"/>
            <w:tcBorders>
              <w:top w:val="nil"/>
              <w:left w:val="nil"/>
              <w:bottom w:val="single" w:sz="4" w:space="0" w:color="auto"/>
              <w:right w:val="single" w:sz="4" w:space="0" w:color="auto"/>
            </w:tcBorders>
          </w:tcPr>
          <w:p w:rsidR="001C10F3" w:rsidRPr="001C10F3" w:rsidRDefault="00587E7C" w:rsidP="00B21489">
            <w:pPr>
              <w:spacing w:after="0"/>
              <w:jc w:val="right"/>
              <w:rPr>
                <w:rFonts w:ascii="Calibri" w:hAnsi="Calibri"/>
                <w:color w:val="000000"/>
                <w:sz w:val="24"/>
                <w:szCs w:val="24"/>
              </w:rPr>
            </w:pPr>
            <w:r>
              <w:rPr>
                <w:rFonts w:ascii="Calibri" w:hAnsi="Calibri"/>
                <w:color w:val="000000"/>
                <w:sz w:val="24"/>
                <w:szCs w:val="24"/>
              </w:rPr>
              <w:t>120.364,789</w:t>
            </w:r>
          </w:p>
        </w:tc>
      </w:tr>
      <w:tr w:rsidR="001C10F3" w:rsidRPr="00764AEE" w:rsidTr="001C10F3">
        <w:trPr>
          <w:trHeight w:val="300"/>
        </w:trPr>
        <w:tc>
          <w:tcPr>
            <w:tcW w:w="2186" w:type="pct"/>
            <w:tcBorders>
              <w:top w:val="nil"/>
              <w:left w:val="single" w:sz="4" w:space="0" w:color="auto"/>
              <w:bottom w:val="single" w:sz="4" w:space="0" w:color="auto"/>
              <w:right w:val="single" w:sz="4" w:space="0" w:color="auto"/>
            </w:tcBorders>
            <w:shd w:val="clear" w:color="000000" w:fill="DBEEF3"/>
            <w:vAlign w:val="bottom"/>
            <w:hideMark/>
          </w:tcPr>
          <w:p w:rsidR="001C10F3" w:rsidRPr="001C10F3" w:rsidRDefault="001C10F3" w:rsidP="00764AEE">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Vodovodni sistem občine po korekciji</w:t>
            </w:r>
          </w:p>
        </w:tc>
        <w:tc>
          <w:tcPr>
            <w:tcW w:w="1407" w:type="pct"/>
            <w:tcBorders>
              <w:top w:val="nil"/>
              <w:left w:val="nil"/>
              <w:bottom w:val="single" w:sz="4" w:space="0" w:color="auto"/>
              <w:right w:val="single" w:sz="4" w:space="0" w:color="auto"/>
            </w:tcBorders>
            <w:shd w:val="clear" w:color="auto" w:fill="auto"/>
            <w:vAlign w:val="bottom"/>
          </w:tcPr>
          <w:p w:rsidR="001C10F3" w:rsidRPr="001C10F3" w:rsidRDefault="00587E7C" w:rsidP="00B21489">
            <w:pPr>
              <w:spacing w:after="0"/>
              <w:jc w:val="right"/>
              <w:rPr>
                <w:rFonts w:ascii="Calibri" w:hAnsi="Calibri"/>
                <w:color w:val="000000"/>
                <w:sz w:val="24"/>
                <w:szCs w:val="24"/>
              </w:rPr>
            </w:pPr>
            <w:r>
              <w:rPr>
                <w:rFonts w:ascii="Calibri" w:hAnsi="Calibri"/>
                <w:color w:val="000000"/>
                <w:sz w:val="24"/>
                <w:szCs w:val="24"/>
              </w:rPr>
              <w:t>1,755.352,164</w:t>
            </w:r>
          </w:p>
        </w:tc>
        <w:tc>
          <w:tcPr>
            <w:tcW w:w="1407" w:type="pct"/>
            <w:tcBorders>
              <w:top w:val="nil"/>
              <w:left w:val="nil"/>
              <w:bottom w:val="single" w:sz="4" w:space="0" w:color="auto"/>
              <w:right w:val="single" w:sz="4" w:space="0" w:color="auto"/>
            </w:tcBorders>
          </w:tcPr>
          <w:p w:rsidR="001C10F3" w:rsidRPr="001C10F3" w:rsidRDefault="0090236F" w:rsidP="00B21489">
            <w:pPr>
              <w:spacing w:after="0"/>
              <w:jc w:val="right"/>
              <w:rPr>
                <w:rFonts w:ascii="Calibri" w:hAnsi="Calibri"/>
                <w:color w:val="000000"/>
                <w:sz w:val="24"/>
                <w:szCs w:val="24"/>
              </w:rPr>
            </w:pPr>
            <w:r>
              <w:rPr>
                <w:rFonts w:ascii="Calibri" w:hAnsi="Calibri"/>
                <w:color w:val="000000"/>
                <w:sz w:val="24"/>
                <w:szCs w:val="24"/>
              </w:rPr>
              <w:t>43.554,035</w:t>
            </w:r>
          </w:p>
        </w:tc>
      </w:tr>
      <w:tr w:rsidR="001C10F3" w:rsidRPr="00764AEE" w:rsidTr="001C10F3">
        <w:trPr>
          <w:trHeight w:val="300"/>
        </w:trPr>
        <w:tc>
          <w:tcPr>
            <w:tcW w:w="2186" w:type="pct"/>
            <w:tcBorders>
              <w:top w:val="nil"/>
              <w:left w:val="single" w:sz="4" w:space="0" w:color="auto"/>
              <w:bottom w:val="single" w:sz="4" w:space="0" w:color="auto"/>
              <w:right w:val="single" w:sz="4" w:space="0" w:color="auto"/>
            </w:tcBorders>
            <w:shd w:val="clear" w:color="000000" w:fill="DBEEF3"/>
            <w:noWrap/>
            <w:vAlign w:val="bottom"/>
            <w:hideMark/>
          </w:tcPr>
          <w:p w:rsidR="001C10F3" w:rsidRPr="001C10F3" w:rsidRDefault="001C10F3" w:rsidP="00764AEE">
            <w:pPr>
              <w:spacing w:after="0" w:line="240" w:lineRule="auto"/>
              <w:rPr>
                <w:rFonts w:ascii="Calibri" w:eastAsia="Times New Roman" w:hAnsi="Calibri" w:cs="Times New Roman"/>
                <w:b/>
                <w:bCs/>
                <w:color w:val="000000"/>
                <w:sz w:val="24"/>
                <w:szCs w:val="24"/>
              </w:rPr>
            </w:pPr>
            <w:r w:rsidRPr="001C10F3">
              <w:rPr>
                <w:rFonts w:ascii="Calibri" w:eastAsia="Times New Roman" w:hAnsi="Calibri" w:cs="Times New Roman"/>
                <w:b/>
                <w:bCs/>
                <w:color w:val="000000"/>
                <w:sz w:val="24"/>
                <w:szCs w:val="24"/>
              </w:rPr>
              <w:t>SKUPAJ</w:t>
            </w:r>
            <w:r>
              <w:rPr>
                <w:rFonts w:ascii="Calibri" w:eastAsia="Times New Roman" w:hAnsi="Calibri" w:cs="Times New Roman"/>
                <w:b/>
                <w:bCs/>
                <w:color w:val="000000"/>
                <w:sz w:val="24"/>
                <w:szCs w:val="24"/>
              </w:rPr>
              <w:t xml:space="preserve"> znižanje vrednosti/am</w:t>
            </w:r>
          </w:p>
        </w:tc>
        <w:tc>
          <w:tcPr>
            <w:tcW w:w="1407" w:type="pct"/>
            <w:tcBorders>
              <w:top w:val="nil"/>
              <w:left w:val="nil"/>
              <w:bottom w:val="single" w:sz="4" w:space="0" w:color="auto"/>
              <w:right w:val="single" w:sz="4" w:space="0" w:color="auto"/>
            </w:tcBorders>
            <w:shd w:val="clear" w:color="000000" w:fill="DBEEF3"/>
            <w:noWrap/>
            <w:vAlign w:val="bottom"/>
          </w:tcPr>
          <w:p w:rsidR="001C10F3" w:rsidRPr="001C10F3" w:rsidRDefault="00587E7C" w:rsidP="00B21489">
            <w:pPr>
              <w:spacing w:after="0"/>
              <w:jc w:val="right"/>
              <w:rPr>
                <w:rFonts w:ascii="Calibri" w:hAnsi="Calibri"/>
                <w:b/>
                <w:bCs/>
                <w:color w:val="000000"/>
                <w:sz w:val="24"/>
                <w:szCs w:val="24"/>
              </w:rPr>
            </w:pPr>
            <w:r>
              <w:rPr>
                <w:rFonts w:ascii="Calibri" w:hAnsi="Calibri"/>
                <w:b/>
                <w:bCs/>
                <w:color w:val="000000"/>
                <w:sz w:val="24"/>
                <w:szCs w:val="24"/>
              </w:rPr>
              <w:t>3,095.697,066</w:t>
            </w:r>
          </w:p>
        </w:tc>
        <w:tc>
          <w:tcPr>
            <w:tcW w:w="1407" w:type="pct"/>
            <w:tcBorders>
              <w:top w:val="nil"/>
              <w:left w:val="nil"/>
              <w:bottom w:val="single" w:sz="4" w:space="0" w:color="auto"/>
              <w:right w:val="single" w:sz="4" w:space="0" w:color="auto"/>
            </w:tcBorders>
            <w:shd w:val="clear" w:color="000000" w:fill="DBEEF3"/>
          </w:tcPr>
          <w:p w:rsidR="001C10F3" w:rsidRPr="001C10F3" w:rsidRDefault="0090236F" w:rsidP="00B21489">
            <w:pPr>
              <w:spacing w:after="0"/>
              <w:jc w:val="right"/>
              <w:rPr>
                <w:rFonts w:ascii="Calibri" w:hAnsi="Calibri"/>
                <w:b/>
                <w:bCs/>
                <w:color w:val="000000"/>
                <w:sz w:val="24"/>
                <w:szCs w:val="24"/>
              </w:rPr>
            </w:pPr>
            <w:r>
              <w:rPr>
                <w:rFonts w:ascii="Calibri" w:hAnsi="Calibri"/>
                <w:b/>
                <w:bCs/>
                <w:color w:val="000000"/>
                <w:sz w:val="24"/>
                <w:szCs w:val="24"/>
              </w:rPr>
              <w:t>77.810,754</w:t>
            </w:r>
          </w:p>
        </w:tc>
      </w:tr>
    </w:tbl>
    <w:p w:rsidR="00377DC4" w:rsidRDefault="00377DC4" w:rsidP="00377DC4">
      <w:pPr>
        <w:pStyle w:val="vrstapredpisa"/>
        <w:spacing w:before="0" w:beforeAutospacing="0" w:after="0" w:afterAutospacing="0"/>
        <w:jc w:val="both"/>
        <w:rPr>
          <w:rFonts w:ascii="Calibri" w:hAnsi="Calibri"/>
          <w:bCs/>
          <w:color w:val="000000"/>
          <w:szCs w:val="22"/>
        </w:rPr>
      </w:pPr>
    </w:p>
    <w:p w:rsidR="00377DC4" w:rsidRDefault="00377DC4" w:rsidP="006E7534">
      <w:pPr>
        <w:pStyle w:val="vrstapredpisa"/>
        <w:spacing w:before="0" w:beforeAutospacing="0" w:after="0" w:afterAutospacing="0"/>
        <w:jc w:val="both"/>
        <w:rPr>
          <w:rFonts w:asciiTheme="minorHAnsi" w:hAnsiTheme="minorHAnsi"/>
        </w:rPr>
      </w:pPr>
    </w:p>
    <w:p w:rsidR="00964C4F" w:rsidRPr="00CF4036" w:rsidRDefault="00964C4F" w:rsidP="006E7534">
      <w:pPr>
        <w:pStyle w:val="vrstapredpisa"/>
        <w:spacing w:before="0" w:beforeAutospacing="0" w:after="0" w:afterAutospacing="0"/>
        <w:jc w:val="both"/>
        <w:rPr>
          <w:rFonts w:asciiTheme="minorHAnsi" w:hAnsiTheme="minorHAnsi"/>
        </w:rPr>
      </w:pPr>
      <w:r w:rsidRPr="00CF4036">
        <w:rPr>
          <w:rFonts w:asciiTheme="minorHAnsi" w:hAnsiTheme="minorHAnsi"/>
        </w:rPr>
        <w:t xml:space="preserve">S korekcijo vrednosti se osnova za amortizacijo, ki vpliva na oblikovanje višine omrežnine zniža </w:t>
      </w:r>
      <w:r w:rsidR="0038749E" w:rsidRPr="00CF4036">
        <w:rPr>
          <w:rFonts w:asciiTheme="minorHAnsi" w:hAnsiTheme="minorHAnsi"/>
        </w:rPr>
        <w:t xml:space="preserve">za </w:t>
      </w:r>
      <w:r w:rsidR="0090236F">
        <w:rPr>
          <w:rFonts w:asciiTheme="minorHAnsi" w:hAnsiTheme="minorHAnsi"/>
        </w:rPr>
        <w:t>3,095.697,066</w:t>
      </w:r>
      <w:r w:rsidR="001C10F3">
        <w:rPr>
          <w:rFonts w:asciiTheme="minorHAnsi" w:hAnsiTheme="minorHAnsi"/>
        </w:rPr>
        <w:t xml:space="preserve"> EUR, kar zniža vrednost amortizacije, ki se zaračuna v najemnino za </w:t>
      </w:r>
      <w:r w:rsidR="0090236F">
        <w:rPr>
          <w:rFonts w:asciiTheme="minorHAnsi" w:hAnsiTheme="minorHAnsi"/>
        </w:rPr>
        <w:t>77.810,754</w:t>
      </w:r>
      <w:r w:rsidR="001C10F3">
        <w:rPr>
          <w:rFonts w:asciiTheme="minorHAnsi" w:hAnsiTheme="minorHAnsi"/>
        </w:rPr>
        <w:t xml:space="preserve"> EUR.</w:t>
      </w:r>
      <w:r w:rsidR="0038749E" w:rsidRPr="00CF4036">
        <w:rPr>
          <w:rFonts w:asciiTheme="minorHAnsi" w:hAnsiTheme="minorHAnsi"/>
        </w:rPr>
        <w:t xml:space="preserve"> </w:t>
      </w:r>
    </w:p>
    <w:p w:rsidR="002C455C" w:rsidRDefault="002C455C" w:rsidP="006E7534">
      <w:pPr>
        <w:pStyle w:val="vrstapredpisa"/>
        <w:spacing w:before="0" w:beforeAutospacing="0" w:after="0" w:afterAutospacing="0"/>
        <w:jc w:val="both"/>
        <w:rPr>
          <w:rFonts w:asciiTheme="minorHAnsi" w:hAnsiTheme="minorHAnsi"/>
        </w:rPr>
      </w:pPr>
      <w:r w:rsidRPr="00CF4036">
        <w:rPr>
          <w:rFonts w:asciiTheme="minorHAnsi" w:hAnsiTheme="minorHAnsi"/>
        </w:rPr>
        <w:br/>
        <w:t xml:space="preserve">Osnova za izračun korekcije je delež izkoriščenosti kapacitet glede na projektirane kapacitete. </w:t>
      </w:r>
    </w:p>
    <w:p w:rsidR="00E54DED" w:rsidRDefault="00E54DED" w:rsidP="006E7534">
      <w:pPr>
        <w:pStyle w:val="vrstapredpisa"/>
        <w:spacing w:before="0" w:beforeAutospacing="0" w:after="0" w:afterAutospacing="0"/>
        <w:jc w:val="both"/>
        <w:rPr>
          <w:rFonts w:asciiTheme="minorHAnsi" w:hAnsiTheme="minorHAnsi"/>
        </w:rPr>
      </w:pPr>
    </w:p>
    <w:p w:rsidR="00E54DED" w:rsidRDefault="00E54DED" w:rsidP="006E7534">
      <w:pPr>
        <w:pStyle w:val="vrstapredpisa"/>
        <w:spacing w:before="0" w:beforeAutospacing="0" w:after="0" w:afterAutospacing="0"/>
        <w:jc w:val="both"/>
        <w:rPr>
          <w:rFonts w:asciiTheme="minorHAnsi" w:hAnsiTheme="minorHAnsi"/>
        </w:rPr>
      </w:pPr>
    </w:p>
    <w:p w:rsidR="00E54DED" w:rsidRDefault="00E54DED" w:rsidP="006E7534">
      <w:pPr>
        <w:pStyle w:val="vrstapredpisa"/>
        <w:spacing w:before="0" w:beforeAutospacing="0" w:after="0" w:afterAutospacing="0"/>
        <w:jc w:val="both"/>
        <w:rPr>
          <w:rFonts w:asciiTheme="minorHAnsi" w:hAnsiTheme="minorHAnsi"/>
        </w:rPr>
      </w:pPr>
    </w:p>
    <w:p w:rsidR="00E54DED" w:rsidRDefault="00E54DED" w:rsidP="006E7534">
      <w:pPr>
        <w:pStyle w:val="vrstapredpisa"/>
        <w:spacing w:before="0" w:beforeAutospacing="0" w:after="0" w:afterAutospacing="0"/>
        <w:jc w:val="both"/>
        <w:rPr>
          <w:rFonts w:asciiTheme="minorHAnsi" w:hAnsiTheme="minorHAnsi"/>
        </w:rPr>
      </w:pPr>
    </w:p>
    <w:p w:rsidR="00E54DED" w:rsidRDefault="00E54DED" w:rsidP="006E7534">
      <w:pPr>
        <w:pStyle w:val="vrstapredpisa"/>
        <w:spacing w:before="0" w:beforeAutospacing="0" w:after="0" w:afterAutospacing="0"/>
        <w:jc w:val="both"/>
        <w:rPr>
          <w:rFonts w:asciiTheme="minorHAnsi" w:hAnsiTheme="minorHAnsi"/>
        </w:rPr>
      </w:pPr>
    </w:p>
    <w:sectPr w:rsidR="00E54DED" w:rsidSect="00377DC4">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B42" w:rsidRDefault="00D12B42" w:rsidP="00580BBD">
      <w:pPr>
        <w:spacing w:after="0" w:line="240" w:lineRule="auto"/>
      </w:pPr>
      <w:r>
        <w:separator/>
      </w:r>
    </w:p>
  </w:endnote>
  <w:endnote w:type="continuationSeparator" w:id="0">
    <w:p w:rsidR="00D12B42" w:rsidRDefault="00D12B42" w:rsidP="0058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mbria,Bol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8784"/>
      <w:docPartObj>
        <w:docPartGallery w:val="Page Numbers (Bottom of Page)"/>
        <w:docPartUnique/>
      </w:docPartObj>
    </w:sdtPr>
    <w:sdtEndPr/>
    <w:sdtContent>
      <w:p w:rsidR="008A632F" w:rsidRDefault="008A632F">
        <w:pPr>
          <w:pStyle w:val="Noga"/>
          <w:jc w:val="right"/>
        </w:pPr>
        <w:r>
          <w:fldChar w:fldCharType="begin"/>
        </w:r>
        <w:r>
          <w:instrText xml:space="preserve"> PAGE   \* MERGEFORMAT </w:instrText>
        </w:r>
        <w:r>
          <w:fldChar w:fldCharType="separate"/>
        </w:r>
        <w:r w:rsidR="00B268BF">
          <w:rPr>
            <w:noProof/>
          </w:rPr>
          <w:t>2</w:t>
        </w:r>
        <w:r>
          <w:rPr>
            <w:noProof/>
          </w:rPr>
          <w:fldChar w:fldCharType="end"/>
        </w:r>
      </w:p>
    </w:sdtContent>
  </w:sdt>
  <w:p w:rsidR="008A632F" w:rsidRDefault="008A632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B42" w:rsidRDefault="00D12B42" w:rsidP="00580BBD">
      <w:pPr>
        <w:spacing w:after="0" w:line="240" w:lineRule="auto"/>
      </w:pPr>
      <w:r>
        <w:separator/>
      </w:r>
    </w:p>
  </w:footnote>
  <w:footnote w:type="continuationSeparator" w:id="0">
    <w:p w:rsidR="00D12B42" w:rsidRDefault="00D12B42" w:rsidP="00580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D53C5"/>
    <w:multiLevelType w:val="hybridMultilevel"/>
    <w:tmpl w:val="E3FCEB52"/>
    <w:lvl w:ilvl="0" w:tplc="CA18AB1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4DD656BB"/>
    <w:multiLevelType w:val="multilevel"/>
    <w:tmpl w:val="D29AF9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57D71676"/>
    <w:multiLevelType w:val="hybridMultilevel"/>
    <w:tmpl w:val="9A424884"/>
    <w:lvl w:ilvl="0" w:tplc="7572F3DA">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B2"/>
    <w:rsid w:val="00063A76"/>
    <w:rsid w:val="00081F45"/>
    <w:rsid w:val="00082557"/>
    <w:rsid w:val="000C3D6E"/>
    <w:rsid w:val="000E7D03"/>
    <w:rsid w:val="00101438"/>
    <w:rsid w:val="00101761"/>
    <w:rsid w:val="00127F10"/>
    <w:rsid w:val="00134F40"/>
    <w:rsid w:val="00175B7E"/>
    <w:rsid w:val="00183646"/>
    <w:rsid w:val="00195E47"/>
    <w:rsid w:val="001A0448"/>
    <w:rsid w:val="001B3B91"/>
    <w:rsid w:val="001C10F3"/>
    <w:rsid w:val="001C3AFE"/>
    <w:rsid w:val="001D3FF5"/>
    <w:rsid w:val="001F13EB"/>
    <w:rsid w:val="002103C3"/>
    <w:rsid w:val="00233F67"/>
    <w:rsid w:val="002A7834"/>
    <w:rsid w:val="002C455C"/>
    <w:rsid w:val="002E1C2C"/>
    <w:rsid w:val="00304FB2"/>
    <w:rsid w:val="0034348C"/>
    <w:rsid w:val="0035080D"/>
    <w:rsid w:val="00377DC4"/>
    <w:rsid w:val="0038749E"/>
    <w:rsid w:val="00396210"/>
    <w:rsid w:val="0041149A"/>
    <w:rsid w:val="00416D7B"/>
    <w:rsid w:val="004338C7"/>
    <w:rsid w:val="00436AD0"/>
    <w:rsid w:val="004748C7"/>
    <w:rsid w:val="004E06E5"/>
    <w:rsid w:val="004F7142"/>
    <w:rsid w:val="005207F8"/>
    <w:rsid w:val="0053354B"/>
    <w:rsid w:val="00536D83"/>
    <w:rsid w:val="0054405C"/>
    <w:rsid w:val="005572D7"/>
    <w:rsid w:val="00560921"/>
    <w:rsid w:val="00565AD3"/>
    <w:rsid w:val="00572D08"/>
    <w:rsid w:val="00573678"/>
    <w:rsid w:val="00575E15"/>
    <w:rsid w:val="00580BBD"/>
    <w:rsid w:val="0058392C"/>
    <w:rsid w:val="00587E7C"/>
    <w:rsid w:val="006055A2"/>
    <w:rsid w:val="00606CBE"/>
    <w:rsid w:val="00607F32"/>
    <w:rsid w:val="00633BD2"/>
    <w:rsid w:val="00685B29"/>
    <w:rsid w:val="006B1B23"/>
    <w:rsid w:val="006E1F86"/>
    <w:rsid w:val="006E7534"/>
    <w:rsid w:val="00705120"/>
    <w:rsid w:val="00710623"/>
    <w:rsid w:val="00745AEA"/>
    <w:rsid w:val="00764AEE"/>
    <w:rsid w:val="00773804"/>
    <w:rsid w:val="00790A09"/>
    <w:rsid w:val="007A2D40"/>
    <w:rsid w:val="007D159D"/>
    <w:rsid w:val="00812B93"/>
    <w:rsid w:val="0084116E"/>
    <w:rsid w:val="00852690"/>
    <w:rsid w:val="0089241A"/>
    <w:rsid w:val="008A632F"/>
    <w:rsid w:val="008B088E"/>
    <w:rsid w:val="008E7D43"/>
    <w:rsid w:val="0090236F"/>
    <w:rsid w:val="00946EF3"/>
    <w:rsid w:val="00955F30"/>
    <w:rsid w:val="00964C4F"/>
    <w:rsid w:val="00A1495F"/>
    <w:rsid w:val="00A309A5"/>
    <w:rsid w:val="00A41422"/>
    <w:rsid w:val="00A50C07"/>
    <w:rsid w:val="00A74266"/>
    <w:rsid w:val="00AA642C"/>
    <w:rsid w:val="00AB14FB"/>
    <w:rsid w:val="00AC3416"/>
    <w:rsid w:val="00B110E2"/>
    <w:rsid w:val="00B21489"/>
    <w:rsid w:val="00B268BF"/>
    <w:rsid w:val="00B56D8A"/>
    <w:rsid w:val="00B7008A"/>
    <w:rsid w:val="00B72A4C"/>
    <w:rsid w:val="00BC1C6C"/>
    <w:rsid w:val="00BD3DE5"/>
    <w:rsid w:val="00BF34AD"/>
    <w:rsid w:val="00C04871"/>
    <w:rsid w:val="00C261BC"/>
    <w:rsid w:val="00C6487A"/>
    <w:rsid w:val="00C748BB"/>
    <w:rsid w:val="00C86F49"/>
    <w:rsid w:val="00CD25C5"/>
    <w:rsid w:val="00CF4036"/>
    <w:rsid w:val="00D12B42"/>
    <w:rsid w:val="00D61D08"/>
    <w:rsid w:val="00E44414"/>
    <w:rsid w:val="00E444AF"/>
    <w:rsid w:val="00E54DED"/>
    <w:rsid w:val="00EA6171"/>
    <w:rsid w:val="00EB1977"/>
    <w:rsid w:val="00F31F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04FB2"/>
    <w:rPr>
      <w:color w:val="0000FF"/>
      <w:u w:val="single"/>
    </w:rPr>
  </w:style>
  <w:style w:type="paragraph" w:styleId="Navadensplet">
    <w:name w:val="Normal (Web)"/>
    <w:basedOn w:val="Navaden"/>
    <w:uiPriority w:val="99"/>
    <w:unhideWhenUsed/>
    <w:rsid w:val="00304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_caption"/>
    <w:basedOn w:val="Navaden"/>
    <w:rsid w:val="00304FB2"/>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304FB2"/>
    <w:rPr>
      <w:b/>
      <w:bCs/>
    </w:rPr>
  </w:style>
  <w:style w:type="paragraph" w:customStyle="1" w:styleId="vrstapredpisa">
    <w:name w:val="vrstapredpisa"/>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predpisa">
    <w:name w:val="naslovpredpisa"/>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
    <w:name w:val="odstavek"/>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basedOn w:val="Navaden"/>
    <w:uiPriority w:val="34"/>
    <w:qFormat/>
    <w:rsid w:val="006E7534"/>
    <w:pPr>
      <w:ind w:left="720"/>
      <w:contextualSpacing/>
    </w:pPr>
  </w:style>
  <w:style w:type="paragraph" w:styleId="Besedilooblaka">
    <w:name w:val="Balloon Text"/>
    <w:basedOn w:val="Navaden"/>
    <w:link w:val="BesedilooblakaZnak"/>
    <w:uiPriority w:val="99"/>
    <w:semiHidden/>
    <w:unhideWhenUsed/>
    <w:rsid w:val="006E75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7534"/>
    <w:rPr>
      <w:rFonts w:ascii="Tahoma" w:hAnsi="Tahoma" w:cs="Tahoma"/>
      <w:sz w:val="16"/>
      <w:szCs w:val="16"/>
    </w:rPr>
  </w:style>
  <w:style w:type="paragraph" w:styleId="Brezrazmikov">
    <w:name w:val="No Spacing"/>
    <w:link w:val="BrezrazmikovZnak"/>
    <w:qFormat/>
    <w:rsid w:val="00233F67"/>
    <w:pPr>
      <w:spacing w:after="0" w:line="240" w:lineRule="auto"/>
    </w:pPr>
    <w:rPr>
      <w:rFonts w:ascii="Calibri" w:eastAsia="Calibri" w:hAnsi="Calibri" w:cs="Times New Roman"/>
    </w:rPr>
  </w:style>
  <w:style w:type="character" w:customStyle="1" w:styleId="BrezrazmikovZnak">
    <w:name w:val="Brez razmikov Znak"/>
    <w:link w:val="Brezrazmikov"/>
    <w:rsid w:val="00233F67"/>
    <w:rPr>
      <w:rFonts w:ascii="Calibri" w:eastAsia="Calibri" w:hAnsi="Calibri" w:cs="Times New Roman"/>
    </w:rPr>
  </w:style>
  <w:style w:type="paragraph" w:styleId="Glava">
    <w:name w:val="header"/>
    <w:basedOn w:val="Navaden"/>
    <w:link w:val="GlavaZnak"/>
    <w:uiPriority w:val="99"/>
    <w:semiHidden/>
    <w:unhideWhenUsed/>
    <w:rsid w:val="00580BBD"/>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80BBD"/>
  </w:style>
  <w:style w:type="paragraph" w:styleId="Noga">
    <w:name w:val="footer"/>
    <w:basedOn w:val="Navaden"/>
    <w:link w:val="NogaZnak"/>
    <w:uiPriority w:val="99"/>
    <w:unhideWhenUsed/>
    <w:rsid w:val="00580BBD"/>
    <w:pPr>
      <w:tabs>
        <w:tab w:val="center" w:pos="4536"/>
        <w:tab w:val="right" w:pos="9072"/>
      </w:tabs>
      <w:spacing w:after="0" w:line="240" w:lineRule="auto"/>
    </w:pPr>
  </w:style>
  <w:style w:type="character" w:customStyle="1" w:styleId="NogaZnak">
    <w:name w:val="Noga Znak"/>
    <w:basedOn w:val="Privzetapisavaodstavka"/>
    <w:link w:val="Noga"/>
    <w:uiPriority w:val="99"/>
    <w:rsid w:val="00580BBD"/>
  </w:style>
  <w:style w:type="table" w:styleId="Tabelamrea">
    <w:name w:val="Table Grid"/>
    <w:basedOn w:val="Navadnatabela"/>
    <w:uiPriority w:val="59"/>
    <w:rsid w:val="0008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04FB2"/>
    <w:rPr>
      <w:color w:val="0000FF"/>
      <w:u w:val="single"/>
    </w:rPr>
  </w:style>
  <w:style w:type="paragraph" w:styleId="Navadensplet">
    <w:name w:val="Normal (Web)"/>
    <w:basedOn w:val="Navaden"/>
    <w:uiPriority w:val="99"/>
    <w:unhideWhenUsed/>
    <w:rsid w:val="00304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_caption"/>
    <w:basedOn w:val="Navaden"/>
    <w:rsid w:val="00304FB2"/>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304FB2"/>
    <w:rPr>
      <w:b/>
      <w:bCs/>
    </w:rPr>
  </w:style>
  <w:style w:type="paragraph" w:customStyle="1" w:styleId="vrstapredpisa">
    <w:name w:val="vrstapredpisa"/>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predpisa">
    <w:name w:val="naslovpredpisa"/>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
    <w:name w:val="len"/>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nnaslov">
    <w:name w:val="lennaslov"/>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stavek">
    <w:name w:val="odstavek"/>
    <w:basedOn w:val="Navaden"/>
    <w:rsid w:val="0089241A"/>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basedOn w:val="Navaden"/>
    <w:uiPriority w:val="34"/>
    <w:qFormat/>
    <w:rsid w:val="006E7534"/>
    <w:pPr>
      <w:ind w:left="720"/>
      <w:contextualSpacing/>
    </w:pPr>
  </w:style>
  <w:style w:type="paragraph" w:styleId="Besedilooblaka">
    <w:name w:val="Balloon Text"/>
    <w:basedOn w:val="Navaden"/>
    <w:link w:val="BesedilooblakaZnak"/>
    <w:uiPriority w:val="99"/>
    <w:semiHidden/>
    <w:unhideWhenUsed/>
    <w:rsid w:val="006E75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7534"/>
    <w:rPr>
      <w:rFonts w:ascii="Tahoma" w:hAnsi="Tahoma" w:cs="Tahoma"/>
      <w:sz w:val="16"/>
      <w:szCs w:val="16"/>
    </w:rPr>
  </w:style>
  <w:style w:type="paragraph" w:styleId="Brezrazmikov">
    <w:name w:val="No Spacing"/>
    <w:link w:val="BrezrazmikovZnak"/>
    <w:qFormat/>
    <w:rsid w:val="00233F67"/>
    <w:pPr>
      <w:spacing w:after="0" w:line="240" w:lineRule="auto"/>
    </w:pPr>
    <w:rPr>
      <w:rFonts w:ascii="Calibri" w:eastAsia="Calibri" w:hAnsi="Calibri" w:cs="Times New Roman"/>
    </w:rPr>
  </w:style>
  <w:style w:type="character" w:customStyle="1" w:styleId="BrezrazmikovZnak">
    <w:name w:val="Brez razmikov Znak"/>
    <w:link w:val="Brezrazmikov"/>
    <w:rsid w:val="00233F67"/>
    <w:rPr>
      <w:rFonts w:ascii="Calibri" w:eastAsia="Calibri" w:hAnsi="Calibri" w:cs="Times New Roman"/>
    </w:rPr>
  </w:style>
  <w:style w:type="paragraph" w:styleId="Glava">
    <w:name w:val="header"/>
    <w:basedOn w:val="Navaden"/>
    <w:link w:val="GlavaZnak"/>
    <w:uiPriority w:val="99"/>
    <w:semiHidden/>
    <w:unhideWhenUsed/>
    <w:rsid w:val="00580BBD"/>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80BBD"/>
  </w:style>
  <w:style w:type="paragraph" w:styleId="Noga">
    <w:name w:val="footer"/>
    <w:basedOn w:val="Navaden"/>
    <w:link w:val="NogaZnak"/>
    <w:uiPriority w:val="99"/>
    <w:unhideWhenUsed/>
    <w:rsid w:val="00580BBD"/>
    <w:pPr>
      <w:tabs>
        <w:tab w:val="center" w:pos="4536"/>
        <w:tab w:val="right" w:pos="9072"/>
      </w:tabs>
      <w:spacing w:after="0" w:line="240" w:lineRule="auto"/>
    </w:pPr>
  </w:style>
  <w:style w:type="character" w:customStyle="1" w:styleId="NogaZnak">
    <w:name w:val="Noga Znak"/>
    <w:basedOn w:val="Privzetapisavaodstavka"/>
    <w:link w:val="Noga"/>
    <w:uiPriority w:val="99"/>
    <w:rsid w:val="00580BBD"/>
  </w:style>
  <w:style w:type="table" w:styleId="Tabelamrea">
    <w:name w:val="Table Grid"/>
    <w:basedOn w:val="Navadnatabela"/>
    <w:uiPriority w:val="59"/>
    <w:rsid w:val="0008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72592">
      <w:bodyDiv w:val="1"/>
      <w:marLeft w:val="0"/>
      <w:marRight w:val="0"/>
      <w:marTop w:val="0"/>
      <w:marBottom w:val="0"/>
      <w:divBdr>
        <w:top w:val="none" w:sz="0" w:space="0" w:color="auto"/>
        <w:left w:val="none" w:sz="0" w:space="0" w:color="auto"/>
        <w:bottom w:val="none" w:sz="0" w:space="0" w:color="auto"/>
        <w:right w:val="none" w:sz="0" w:space="0" w:color="auto"/>
      </w:divBdr>
      <w:divsChild>
        <w:div w:id="704255128">
          <w:marLeft w:val="0"/>
          <w:marRight w:val="0"/>
          <w:marTop w:val="0"/>
          <w:marBottom w:val="0"/>
          <w:divBdr>
            <w:top w:val="none" w:sz="0" w:space="0" w:color="auto"/>
            <w:left w:val="none" w:sz="0" w:space="0" w:color="auto"/>
            <w:bottom w:val="none" w:sz="0" w:space="0" w:color="auto"/>
            <w:right w:val="none" w:sz="0" w:space="0" w:color="auto"/>
          </w:divBdr>
        </w:div>
      </w:divsChild>
    </w:div>
    <w:div w:id="536086743">
      <w:bodyDiv w:val="1"/>
      <w:marLeft w:val="0"/>
      <w:marRight w:val="0"/>
      <w:marTop w:val="0"/>
      <w:marBottom w:val="0"/>
      <w:divBdr>
        <w:top w:val="none" w:sz="0" w:space="0" w:color="auto"/>
        <w:left w:val="none" w:sz="0" w:space="0" w:color="auto"/>
        <w:bottom w:val="none" w:sz="0" w:space="0" w:color="auto"/>
        <w:right w:val="none" w:sz="0" w:space="0" w:color="auto"/>
      </w:divBdr>
    </w:div>
    <w:div w:id="775248148">
      <w:bodyDiv w:val="1"/>
      <w:marLeft w:val="0"/>
      <w:marRight w:val="0"/>
      <w:marTop w:val="0"/>
      <w:marBottom w:val="0"/>
      <w:divBdr>
        <w:top w:val="none" w:sz="0" w:space="0" w:color="auto"/>
        <w:left w:val="none" w:sz="0" w:space="0" w:color="auto"/>
        <w:bottom w:val="none" w:sz="0" w:space="0" w:color="auto"/>
        <w:right w:val="none" w:sz="0" w:space="0" w:color="auto"/>
      </w:divBdr>
    </w:div>
    <w:div w:id="783689808">
      <w:bodyDiv w:val="1"/>
      <w:marLeft w:val="0"/>
      <w:marRight w:val="0"/>
      <w:marTop w:val="0"/>
      <w:marBottom w:val="0"/>
      <w:divBdr>
        <w:top w:val="none" w:sz="0" w:space="0" w:color="auto"/>
        <w:left w:val="none" w:sz="0" w:space="0" w:color="auto"/>
        <w:bottom w:val="none" w:sz="0" w:space="0" w:color="auto"/>
        <w:right w:val="none" w:sz="0" w:space="0" w:color="auto"/>
      </w:divBdr>
    </w:div>
    <w:div w:id="983240736">
      <w:bodyDiv w:val="1"/>
      <w:marLeft w:val="0"/>
      <w:marRight w:val="0"/>
      <w:marTop w:val="0"/>
      <w:marBottom w:val="0"/>
      <w:divBdr>
        <w:top w:val="none" w:sz="0" w:space="0" w:color="auto"/>
        <w:left w:val="none" w:sz="0" w:space="0" w:color="auto"/>
        <w:bottom w:val="none" w:sz="0" w:space="0" w:color="auto"/>
        <w:right w:val="none" w:sz="0" w:space="0" w:color="auto"/>
      </w:divBdr>
    </w:div>
    <w:div w:id="1289629126">
      <w:bodyDiv w:val="1"/>
      <w:marLeft w:val="0"/>
      <w:marRight w:val="0"/>
      <w:marTop w:val="0"/>
      <w:marBottom w:val="0"/>
      <w:divBdr>
        <w:top w:val="none" w:sz="0" w:space="0" w:color="auto"/>
        <w:left w:val="none" w:sz="0" w:space="0" w:color="auto"/>
        <w:bottom w:val="none" w:sz="0" w:space="0" w:color="auto"/>
        <w:right w:val="none" w:sz="0" w:space="0" w:color="auto"/>
      </w:divBdr>
    </w:div>
    <w:div w:id="1303736016">
      <w:bodyDiv w:val="1"/>
      <w:marLeft w:val="0"/>
      <w:marRight w:val="0"/>
      <w:marTop w:val="0"/>
      <w:marBottom w:val="0"/>
      <w:divBdr>
        <w:top w:val="none" w:sz="0" w:space="0" w:color="auto"/>
        <w:left w:val="none" w:sz="0" w:space="0" w:color="auto"/>
        <w:bottom w:val="none" w:sz="0" w:space="0" w:color="auto"/>
        <w:right w:val="none" w:sz="0" w:space="0" w:color="auto"/>
      </w:divBdr>
    </w:div>
    <w:div w:id="1399013016">
      <w:bodyDiv w:val="1"/>
      <w:marLeft w:val="0"/>
      <w:marRight w:val="0"/>
      <w:marTop w:val="0"/>
      <w:marBottom w:val="0"/>
      <w:divBdr>
        <w:top w:val="none" w:sz="0" w:space="0" w:color="auto"/>
        <w:left w:val="none" w:sz="0" w:space="0" w:color="auto"/>
        <w:bottom w:val="none" w:sz="0" w:space="0" w:color="auto"/>
        <w:right w:val="none" w:sz="0" w:space="0" w:color="auto"/>
      </w:divBdr>
    </w:div>
    <w:div w:id="1402365387">
      <w:bodyDiv w:val="1"/>
      <w:marLeft w:val="0"/>
      <w:marRight w:val="0"/>
      <w:marTop w:val="0"/>
      <w:marBottom w:val="0"/>
      <w:divBdr>
        <w:top w:val="none" w:sz="0" w:space="0" w:color="auto"/>
        <w:left w:val="none" w:sz="0" w:space="0" w:color="auto"/>
        <w:bottom w:val="none" w:sz="0" w:space="0" w:color="auto"/>
        <w:right w:val="none" w:sz="0" w:space="0" w:color="auto"/>
      </w:divBdr>
    </w:div>
    <w:div w:id="1447431026">
      <w:bodyDiv w:val="1"/>
      <w:marLeft w:val="0"/>
      <w:marRight w:val="0"/>
      <w:marTop w:val="0"/>
      <w:marBottom w:val="0"/>
      <w:divBdr>
        <w:top w:val="none" w:sz="0" w:space="0" w:color="auto"/>
        <w:left w:val="none" w:sz="0" w:space="0" w:color="auto"/>
        <w:bottom w:val="none" w:sz="0" w:space="0" w:color="auto"/>
        <w:right w:val="none" w:sz="0" w:space="0" w:color="auto"/>
      </w:divBdr>
    </w:div>
    <w:div w:id="1608268819">
      <w:bodyDiv w:val="1"/>
      <w:marLeft w:val="0"/>
      <w:marRight w:val="0"/>
      <w:marTop w:val="0"/>
      <w:marBottom w:val="0"/>
      <w:divBdr>
        <w:top w:val="none" w:sz="0" w:space="0" w:color="auto"/>
        <w:left w:val="none" w:sz="0" w:space="0" w:color="auto"/>
        <w:bottom w:val="none" w:sz="0" w:space="0" w:color="auto"/>
        <w:right w:val="none" w:sz="0" w:space="0" w:color="auto"/>
      </w:divBdr>
    </w:div>
    <w:div w:id="1680307702">
      <w:bodyDiv w:val="1"/>
      <w:marLeft w:val="0"/>
      <w:marRight w:val="0"/>
      <w:marTop w:val="0"/>
      <w:marBottom w:val="0"/>
      <w:divBdr>
        <w:top w:val="none" w:sz="0" w:space="0" w:color="auto"/>
        <w:left w:val="none" w:sz="0" w:space="0" w:color="auto"/>
        <w:bottom w:val="none" w:sz="0" w:space="0" w:color="auto"/>
        <w:right w:val="none" w:sz="0" w:space="0" w:color="auto"/>
      </w:divBdr>
    </w:div>
    <w:div w:id="1748071149">
      <w:bodyDiv w:val="1"/>
      <w:marLeft w:val="0"/>
      <w:marRight w:val="0"/>
      <w:marTop w:val="0"/>
      <w:marBottom w:val="0"/>
      <w:divBdr>
        <w:top w:val="none" w:sz="0" w:space="0" w:color="auto"/>
        <w:left w:val="none" w:sz="0" w:space="0" w:color="auto"/>
        <w:bottom w:val="none" w:sz="0" w:space="0" w:color="auto"/>
        <w:right w:val="none" w:sz="0" w:space="0" w:color="auto"/>
      </w:divBdr>
    </w:div>
    <w:div w:id="1885629761">
      <w:bodyDiv w:val="1"/>
      <w:marLeft w:val="0"/>
      <w:marRight w:val="0"/>
      <w:marTop w:val="0"/>
      <w:marBottom w:val="0"/>
      <w:divBdr>
        <w:top w:val="none" w:sz="0" w:space="0" w:color="auto"/>
        <w:left w:val="none" w:sz="0" w:space="0" w:color="auto"/>
        <w:bottom w:val="none" w:sz="0" w:space="0" w:color="auto"/>
        <w:right w:val="none" w:sz="0" w:space="0" w:color="auto"/>
      </w:divBdr>
    </w:div>
    <w:div w:id="1917083388">
      <w:bodyDiv w:val="1"/>
      <w:marLeft w:val="0"/>
      <w:marRight w:val="0"/>
      <w:marTop w:val="0"/>
      <w:marBottom w:val="0"/>
      <w:divBdr>
        <w:top w:val="none" w:sz="0" w:space="0" w:color="auto"/>
        <w:left w:val="none" w:sz="0" w:space="0" w:color="auto"/>
        <w:bottom w:val="none" w:sz="0" w:space="0" w:color="auto"/>
        <w:right w:val="none" w:sz="0" w:space="0" w:color="auto"/>
      </w:divBdr>
    </w:div>
    <w:div w:id="1926645309">
      <w:bodyDiv w:val="1"/>
      <w:marLeft w:val="0"/>
      <w:marRight w:val="0"/>
      <w:marTop w:val="0"/>
      <w:marBottom w:val="0"/>
      <w:divBdr>
        <w:top w:val="none" w:sz="0" w:space="0" w:color="auto"/>
        <w:left w:val="none" w:sz="0" w:space="0" w:color="auto"/>
        <w:bottom w:val="none" w:sz="0" w:space="0" w:color="auto"/>
        <w:right w:val="none" w:sz="0" w:space="0" w:color="auto"/>
      </w:divBdr>
    </w:div>
    <w:div w:id="2027753552">
      <w:bodyDiv w:val="1"/>
      <w:marLeft w:val="0"/>
      <w:marRight w:val="0"/>
      <w:marTop w:val="0"/>
      <w:marBottom w:val="0"/>
      <w:divBdr>
        <w:top w:val="none" w:sz="0" w:space="0" w:color="auto"/>
        <w:left w:val="none" w:sz="0" w:space="0" w:color="auto"/>
        <w:bottom w:val="none" w:sz="0" w:space="0" w:color="auto"/>
        <w:right w:val="none" w:sz="0" w:space="0" w:color="auto"/>
      </w:divBdr>
    </w:div>
    <w:div w:id="2112967242">
      <w:bodyDiv w:val="1"/>
      <w:marLeft w:val="0"/>
      <w:marRight w:val="0"/>
      <w:marTop w:val="0"/>
      <w:marBottom w:val="0"/>
      <w:divBdr>
        <w:top w:val="none" w:sz="0" w:space="0" w:color="auto"/>
        <w:left w:val="none" w:sz="0" w:space="0" w:color="auto"/>
        <w:bottom w:val="none" w:sz="0" w:space="0" w:color="auto"/>
        <w:right w:val="none" w:sz="0" w:space="0" w:color="auto"/>
      </w:divBdr>
    </w:div>
    <w:div w:id="21236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B00F5-989E-4C13-A570-F78967FA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5535</Characters>
  <Application>Microsoft Office Word</Application>
  <DocSecurity>0</DocSecurity>
  <Lines>46</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Jožica Cigan</cp:lastModifiedBy>
  <cp:revision>2</cp:revision>
  <cp:lastPrinted>2018-01-23T09:17:00Z</cp:lastPrinted>
  <dcterms:created xsi:type="dcterms:W3CDTF">2018-01-23T09:18:00Z</dcterms:created>
  <dcterms:modified xsi:type="dcterms:W3CDTF">2018-01-23T09:18:00Z</dcterms:modified>
</cp:coreProperties>
</file>