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1" w:rsidRPr="00DF7E81" w:rsidRDefault="00DF7E81" w:rsidP="00DF7E81">
      <w:pPr>
        <w:spacing w:before="100" w:beforeAutospacing="1" w:after="100" w:afterAutospacing="1"/>
        <w:rPr>
          <w:rFonts w:ascii="Times New Roman" w:hAnsi="Times New Roman"/>
          <w:szCs w:val="22"/>
          <w:lang w:eastAsia="sl-SI"/>
        </w:rPr>
      </w:pPr>
      <w:r w:rsidRPr="00DF7E81">
        <w:rPr>
          <w:rFonts w:ascii="Times New Roman" w:hAnsi="Times New Roman"/>
          <w:bCs/>
          <w:szCs w:val="22"/>
          <w:lang w:eastAsia="sl-SI"/>
        </w:rPr>
        <w:t>Na podlagi 29. člena Zakona o lokalni samoupravi - UPB 2 (Uradni list RS, št. 94/07, 76/08, 79/09, 51/10 in 40/12 - ZUJF), 29. člena Zakona o javnih financah - UPB 4 (Uradni list RS, št. 11/11, 14/13-</w:t>
      </w:r>
      <w:proofErr w:type="spellStart"/>
      <w:r w:rsidRPr="00DF7E81">
        <w:rPr>
          <w:rFonts w:ascii="Times New Roman" w:hAnsi="Times New Roman"/>
          <w:bCs/>
          <w:szCs w:val="22"/>
          <w:lang w:eastAsia="sl-SI"/>
        </w:rPr>
        <w:t>popr</w:t>
      </w:r>
      <w:proofErr w:type="spellEnd"/>
      <w:r w:rsidRPr="00DF7E81">
        <w:rPr>
          <w:rFonts w:ascii="Times New Roman" w:hAnsi="Times New Roman"/>
          <w:bCs/>
          <w:szCs w:val="22"/>
          <w:lang w:eastAsia="sl-SI"/>
        </w:rPr>
        <w:t xml:space="preserve">., 110/11 - ZDIU12, 46/13 - ZIPRS1314-A, 101/13, 101/13 - ZIPRS1415, 38/14 - ZIPRS1415-A in </w:t>
      </w:r>
      <w:hyperlink r:id="rId7" w:tgtFrame="_blank" w:tooltip="Zakon o spremembah in dopolnitvah Zakona o izvrševanju proračunov Republike Slovenije za leti 2014 in 2015" w:history="1">
        <w:r w:rsidRPr="00DF7E81">
          <w:rPr>
            <w:rStyle w:val="Hiperpovezava"/>
            <w:rFonts w:ascii="Times New Roman" w:hAnsi="Times New Roman"/>
            <w:bCs/>
            <w:color w:val="auto"/>
            <w:szCs w:val="22"/>
            <w:lang w:eastAsia="sl-SI"/>
          </w:rPr>
          <w:t>84/14</w:t>
        </w:r>
      </w:hyperlink>
      <w:r w:rsidRPr="00DF7E81">
        <w:rPr>
          <w:rFonts w:ascii="Times New Roman" w:hAnsi="Times New Roman"/>
          <w:bCs/>
          <w:szCs w:val="22"/>
          <w:lang w:eastAsia="sl-SI"/>
        </w:rPr>
        <w:t xml:space="preserve"> - ZIPRS1415-B) in 16. člena Statuta Občine Mozirje (Uradni list RS, št. 11/07) je Občinski svet Občine Mozirje na </w:t>
      </w:r>
      <w:r w:rsidRPr="00DF7E81">
        <w:rPr>
          <w:rFonts w:ascii="Times New Roman" w:hAnsi="Times New Roman"/>
          <w:bCs/>
          <w:szCs w:val="22"/>
          <w:lang w:eastAsia="sl-SI"/>
        </w:rPr>
        <w:softHyphen/>
      </w:r>
      <w:r w:rsidRPr="00DF7E81">
        <w:rPr>
          <w:rFonts w:ascii="Times New Roman" w:hAnsi="Times New Roman"/>
          <w:bCs/>
          <w:szCs w:val="22"/>
          <w:lang w:eastAsia="sl-SI"/>
        </w:rPr>
        <w:softHyphen/>
      </w:r>
      <w:r w:rsidRPr="00DF7E81">
        <w:rPr>
          <w:rFonts w:ascii="Times New Roman" w:hAnsi="Times New Roman"/>
          <w:bCs/>
          <w:szCs w:val="22"/>
          <w:lang w:eastAsia="sl-SI"/>
        </w:rPr>
        <w:softHyphen/>
      </w:r>
      <w:r w:rsidRPr="00DF7E81">
        <w:rPr>
          <w:rFonts w:ascii="Times New Roman" w:hAnsi="Times New Roman"/>
          <w:bCs/>
          <w:szCs w:val="22"/>
          <w:lang w:eastAsia="sl-SI"/>
        </w:rPr>
        <w:softHyphen/>
        <w:t>___. seji, dne, ________, sprejel</w:t>
      </w:r>
    </w:p>
    <w:p w:rsidR="00B80DB1" w:rsidRPr="00A23999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A82B4C" w:rsidRPr="00A23999" w:rsidRDefault="00A82B4C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ODLOK O PRORAČUNU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 xml:space="preserve">OBČINE MOZIRJE </w:t>
      </w:r>
      <w:r>
        <w:rPr>
          <w:sz w:val="20"/>
        </w:rPr>
        <w:t>ZA LETO 201</w:t>
      </w:r>
      <w:r w:rsidR="006251BA">
        <w:rPr>
          <w:sz w:val="20"/>
        </w:rPr>
        <w:t>6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0"/>
        </w:rPr>
      </w:pPr>
    </w:p>
    <w:p w:rsidR="00B80DB1" w:rsidRPr="00A24990" w:rsidRDefault="00B80DB1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0"/>
        </w:rPr>
      </w:pPr>
      <w:r w:rsidRPr="00A24990">
        <w:rPr>
          <w:sz w:val="20"/>
        </w:rPr>
        <w:t>1. SPLOŠNA DOLOČBA</w:t>
      </w:r>
      <w:r w:rsidR="001E4584">
        <w:rPr>
          <w:sz w:val="20"/>
        </w:rPr>
        <w:t xml:space="preserve"> </w:t>
      </w:r>
    </w:p>
    <w:p w:rsidR="00B80DB1" w:rsidRPr="00A24990" w:rsidRDefault="00B80DB1" w:rsidP="00B80DB1">
      <w:pPr>
        <w:pStyle w:val="Telobesedila"/>
        <w:numPr>
          <w:ilvl w:val="0"/>
          <w:numId w:val="1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0"/>
        </w:rPr>
      </w:pPr>
      <w:r w:rsidRPr="00A24990">
        <w:rPr>
          <w:sz w:val="20"/>
        </w:rPr>
        <w:t>člen</w:t>
      </w:r>
    </w:p>
    <w:p w:rsidR="00B80DB1" w:rsidRPr="00A24990" w:rsidRDefault="00B80DB1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jc w:val="center"/>
        <w:rPr>
          <w:sz w:val="20"/>
        </w:rPr>
      </w:pPr>
      <w:r w:rsidRPr="00A24990">
        <w:rPr>
          <w:sz w:val="20"/>
        </w:rPr>
        <w:t>(vsebina odloka)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S tem odlokom se za Občino Mozirje </w:t>
      </w:r>
      <w:r>
        <w:rPr>
          <w:sz w:val="20"/>
        </w:rPr>
        <w:t>za leto 201</w:t>
      </w:r>
      <w:r w:rsidR="006251BA">
        <w:rPr>
          <w:sz w:val="20"/>
        </w:rPr>
        <w:t>6</w:t>
      </w:r>
      <w:r w:rsidRPr="00A24990">
        <w:rPr>
          <w:sz w:val="20"/>
        </w:rPr>
        <w:t xml:space="preserve"> določajo proračun, postopki izvrševanja proračuna ter obseg zadolževanja in poroštev občine in javnega sektorja na ravni občine (v nadaljnjem besedilu: proračun).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2. VIŠINA SPLOŠNEGA DELA PRORAČUNA IN STRUKTURA POSEBNEGA DELA PRORAČUNA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0"/>
        </w:rPr>
      </w:pPr>
      <w:r w:rsidRPr="00A24990">
        <w:rPr>
          <w:sz w:val="20"/>
        </w:rPr>
        <w:t>2. člen</w:t>
      </w:r>
    </w:p>
    <w:p w:rsidR="00B80DB1" w:rsidRPr="00A24990" w:rsidRDefault="00B80DB1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(sestava proračuna in višina splošnega dela proračuna)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V splošnem delu proračuna so prikazani prejemki in izdatki po ekonomski klasifikaciji do ravni kontov.</w:t>
      </w:r>
    </w:p>
    <w:p w:rsidR="00B80DB1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Splošni del proračuna se določa v naslednjih zneskih</w:t>
      </w:r>
      <w:r>
        <w:rPr>
          <w:sz w:val="20"/>
        </w:rPr>
        <w:t xml:space="preserve"> (evrih)</w:t>
      </w:r>
      <w:r w:rsidRPr="00A24990">
        <w:rPr>
          <w:sz w:val="20"/>
        </w:rPr>
        <w:t>:</w:t>
      </w:r>
    </w:p>
    <w:p w:rsidR="006A74B5" w:rsidRDefault="006A74B5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tbl>
      <w:tblPr>
        <w:tblW w:w="912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815"/>
        <w:gridCol w:w="1312"/>
      </w:tblGrid>
      <w:tr w:rsidR="000149D6" w:rsidRPr="000149D6">
        <w:trPr>
          <w:trHeight w:val="31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Italic" w:hAnsi="Times-BoldItalic" w:cs="Arial"/>
                <w:b/>
                <w:bCs/>
                <w:i/>
                <w:iCs/>
                <w:sz w:val="24"/>
                <w:lang w:eastAsia="sl-SI"/>
              </w:rPr>
            </w:pPr>
            <w:r w:rsidRPr="000149D6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lang w:eastAsia="sl-SI"/>
              </w:rPr>
              <w:t>A. BILANCA PRIHODKOV IN ODHODKOV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I. SKUPAJ PRIHODKI (70+71+72+73+74)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3.4</w:t>
            </w:r>
            <w:r w:rsidR="00982248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51</w:t>
            </w: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.</w:t>
            </w:r>
            <w:r w:rsidR="00982248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0</w:t>
            </w: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49,00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TEKO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I PRIHODKI (70+71)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2.918.549,00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ind w:right="-70"/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70 DAV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NI PRIHODKI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2.496.239,00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700 Davki na dohodek in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dobi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ek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2.227.939,00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7000 Dohodnina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2.227.939,00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703 Davki na premoženje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181.300,00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7030 Davki na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nepremi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nine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134.400,00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7031 Davki na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premi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400,00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7032 Davki na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dediš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ine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in darila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5.000,00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7033 Davki na promet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nepremi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nin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in na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finan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no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premoženje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41.500,00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704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Doma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davki na blago in storitve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86.000,00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7044 Davki na posebne storitve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7047 Drugi davki na uporabo blaga in storitev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85.000,00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706 Drugi davki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7060 Drugi davki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71 NEDAV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NI PRIHODKI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422.310,00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710 Udeležba na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dobi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ku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in dohodki od premoženja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140.800,00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7100 Prihodki od udeležbe na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dobi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ku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in dividend ter presežkov prihodkov nad odhodki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7102 Prihodki od obresti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500,00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7103 Prihodki od premoženja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140.000,00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711 Takse in pristojbine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2.200,00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7111 Upravne takse in pristojbine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2.200,00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712 Globe in druge denarne kazni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8.000,00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7120 Globe in druge denarne kazni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8.000,00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713 Prihodki od prodaje blaga in storitev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350,00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7130 Prihodki od prodaje blaga in storitev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350,00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714 Drugi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nedav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ni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prihodki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270.960,00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7141 Drugi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nedav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ni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prihodki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270.960,00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72 KAPITALSKI PRIHODKI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145.000,00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720 Prihodki od prodaje osnovnih sredstev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40.000,00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7200 Prihodki od prodaje zgradb in prostorov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40.000,00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722 Prihodki od prodaje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zemljiš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proofErr w:type="spellEnd"/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 xml:space="preserve"> 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in neopredmetenih sredstev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105.000,00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7221 Prihodki od prodaje stavbnih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zemljiš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proofErr w:type="spellEnd"/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105.000,00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lastRenderedPageBreak/>
              <w:t xml:space="preserve">73 PREJETE DONACIJE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30.000,00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730 Prejete donacije iz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doma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ih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virov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30.000,00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7300 Prejete donacije in darila od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doma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ih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pravnih oseb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74 TRANSFERNI PRIHODKI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3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57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740 Transferni prihodki iz drugih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javnofinan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nih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institucij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3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57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7400 Prejeta sredstva iz državnega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prora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una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982248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>
              <w:rPr>
                <w:rFonts w:ascii="Times-Roman" w:hAnsi="Times-Roman" w:cs="Arial"/>
                <w:sz w:val="16"/>
                <w:szCs w:val="16"/>
                <w:lang w:eastAsia="sl-SI"/>
              </w:rPr>
              <w:t>330.500</w:t>
            </w:r>
            <w:r w:rsidR="000149D6"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7401 Prejeta sredstva iz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ob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inskih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prora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unov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27.000,00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II. SKUPAJ ODHODKI (40+41+42+43)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982248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3.185.7</w:t>
            </w:r>
            <w:r w:rsidR="000149D6"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48,00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40 TEKO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I ODHODKI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1.02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4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.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240,00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400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Pla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e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in drugi izdatki zaposlenim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25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4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.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110,00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4000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e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in dodatki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982248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>
              <w:rPr>
                <w:rFonts w:ascii="Times-Roman" w:hAnsi="Times-Roman" w:cs="Arial"/>
                <w:sz w:val="16"/>
                <w:szCs w:val="16"/>
                <w:lang w:eastAsia="sl-SI"/>
              </w:rPr>
              <w:t>220.556,00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4001 Regres za letni dopust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7.314,00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4002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Povra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in nadomestila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14.850,00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4005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e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za delo nerezidentov po pogodbi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11.100,00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4009 Drugi izdatki zaposlenim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290,00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401 Prispevki delodajalcev za socialno varnost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37.419,00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4010 Prispevek za pokojninsko in invalidsko zavarovanje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19.660,00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4011 Prispevek za zdravstveno zavarovanje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15.910,00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4012 Prispevek za zaposlovanje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138,00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4013 Prispevek za starševsko varstvo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231,00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4015 Premije kolektivnega dodatnega in pokojninskega zavarovanja, na podlagi ZKDPZJU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1.480,00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402 Izdatki za blago in storitve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982248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628.2</w:t>
            </w:r>
            <w:r w:rsidR="000149D6"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91,00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4020 Pisarniški in splošni material in storitve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982248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>
              <w:rPr>
                <w:rFonts w:ascii="Times-Roman" w:hAnsi="Times-Roman" w:cs="Arial"/>
                <w:sz w:val="16"/>
                <w:szCs w:val="16"/>
                <w:lang w:eastAsia="sl-SI"/>
              </w:rPr>
              <w:t>80.8</w:t>
            </w:r>
            <w:r w:rsidR="000149D6"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4021 Posebni material in storitve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11.410,00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4022 Energija, voda, komunalne storitve in komunikacije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122.100,00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4023 Prevozni stroški in storitve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4024 Izdatki za službena potovanja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3.100,00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4025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Teko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e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vzdrževanje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303.110,00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4026 Poslovne najemnine in zakupnine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24.101,00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4027 Kazni in odškodnine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6.000,00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4029 Drugi operativni odhodki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74.670,00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403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Pla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ila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doma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ih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obresti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53.150,00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4031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obresti od kreditov - poslovnim bankam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38.000,00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4032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obresti od kreditov - drugim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finan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nim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institucijam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3.500,00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4033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obresti od kreditov - drugim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doma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im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kreditodajalcem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11.650,00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409 Rezerve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5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1.15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4090 Splošna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prora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unska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rezervacija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</w:t>
            </w:r>
            <w:r w:rsidR="00982248">
              <w:rPr>
                <w:rFonts w:ascii="Times-Roman" w:hAnsi="Times-Roman" w:cs="Arial"/>
                <w:sz w:val="16"/>
                <w:szCs w:val="16"/>
                <w:lang w:eastAsia="sl-SI"/>
              </w:rPr>
              <w:t>5</w:t>
            </w: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4091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Prora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unska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rezerva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35.970,00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4093 Sredstva za posebne namene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41 TEKO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I TRANSFERI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1.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120.425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410 Subvencije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29.235,00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4100 Subvencije javnim podjetjem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7.235,00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4102 Subvencije privatnim podjetjem in zasebnikom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22.000,00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411 Transferi posameznikom in gospodinjstvom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266.001,00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4111 Družinski prejemki in starševska nadomestila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6.600,00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4112 Transferi za zagotavljanje socialne varnosti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4119 Drugi transferi posameznikom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256.401,00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412 Transferi nepridobitnim organizacijam in ustanovam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95.440,00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4120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Teko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transferi nepridobitnim organizacijam in ustanovam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95.440,00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413 Drugi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teko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doma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transferi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729.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749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4131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Teko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transferi v sklade socialnega zavarovanja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35.000,00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4133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Teko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transferi v javne zavode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694.</w:t>
            </w:r>
            <w:r w:rsidR="00982248">
              <w:rPr>
                <w:rFonts w:ascii="Times-Roman" w:hAnsi="Times-Roman" w:cs="Arial"/>
                <w:sz w:val="16"/>
                <w:szCs w:val="16"/>
                <w:lang w:eastAsia="sl-SI"/>
              </w:rPr>
              <w:t>749</w:t>
            </w: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42 INVESTICIJSKI ODHODKI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9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50</w:t>
            </w: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.</w:t>
            </w:r>
            <w:r w:rsidR="00982248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446,00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420 Nakup in gradnja osnovnih sredstev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982248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950.446,00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4200 Nakup zgradb in prostorov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20.000,00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4202 Nakup opreme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8.000,00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4204 Novogradnje, rekonstrukcije in adaptacije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31</w:t>
            </w:r>
            <w:r w:rsidR="00982248">
              <w:rPr>
                <w:rFonts w:ascii="Times-Roman" w:hAnsi="Times-Roman" w:cs="Arial"/>
                <w:sz w:val="16"/>
                <w:szCs w:val="16"/>
                <w:lang w:eastAsia="sl-SI"/>
              </w:rPr>
              <w:t>5</w:t>
            </w: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.821,00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lastRenderedPageBreak/>
              <w:t xml:space="preserve">4205 Investicijsko vzdrževanje in obnove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489.200,00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4206 Nakup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zemljiš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proofErr w:type="spellEnd"/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 xml:space="preserve"> 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in naravnih bogastev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5.001,00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4208 Študije o izvedljivosti projektov, projektna dokumentacija, nadzor in investicijski inženiring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</w:t>
            </w:r>
            <w:r w:rsidR="003C373A">
              <w:rPr>
                <w:rFonts w:ascii="Times-Roman" w:hAnsi="Times-Roman" w:cs="Arial"/>
                <w:sz w:val="16"/>
                <w:szCs w:val="16"/>
                <w:lang w:eastAsia="sl-SI"/>
              </w:rPr>
              <w:t>12.42</w:t>
            </w: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4,</w:t>
            </w:r>
            <w:r w:rsidR="003C373A">
              <w:rPr>
                <w:rFonts w:ascii="Times-Roman" w:hAnsi="Times-Roman" w:cs="Arial"/>
                <w:sz w:val="16"/>
                <w:szCs w:val="16"/>
                <w:lang w:eastAsia="sl-SI"/>
              </w:rPr>
              <w:t>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43 INVESTICIJSKI TRANSFERI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90.637,00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431 Investicijski transferi pravnim in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fizi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nim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osebam, ki niso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prora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unski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uporabniki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75.200,00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4310 Investicijski transferi nepridobitnim organizacijam in ustanovam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61.000,00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4311 Investicijski transferi javnim podjetjem in družbam, ki so v lasti države ali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ob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in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11.200,00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4314 Investicijski transferi posameznikom in zasebnikom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3.000,00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432 Investicijski transferi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prora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unskim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uporabnikom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15.437,00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4323 Investicijski transferi javnim zavodom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15.437,00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III. PRORA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UNSKI PRESEŽEK (PRORA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UNSKI PRIMANJKLJAJ) 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(I. - II.)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(Skupaj prihodki minus skupaj odhodki)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265.301,00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III/1. PRIMARNI PRESEŽEK (PRIMANJKLJAJ) 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(I. - 7102) - ( II. - 403 - 404)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(Skupaj prihodki brez prihodkov od obresti minus skupaj odhodki brez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pla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il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obresti)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317.951,00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III/2. TEKO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I PRESEŽEK (PRIMANJKLJAJ) 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(70 + 71) - (40 + 41)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(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Teko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prihodki minus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teko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odhodki in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teko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transferi)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3C373A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773.884,00</w:t>
            </w:r>
          </w:p>
        </w:tc>
      </w:tr>
      <w:tr w:rsidR="000149D6" w:rsidRPr="000149D6">
        <w:trPr>
          <w:trHeight w:val="31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Italic" w:hAnsi="Times-BoldItalic" w:cs="Arial"/>
                <w:b/>
                <w:bCs/>
                <w:i/>
                <w:iCs/>
                <w:sz w:val="24"/>
                <w:lang w:eastAsia="sl-SI"/>
              </w:rPr>
            </w:pPr>
            <w:r w:rsidRPr="000149D6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lang w:eastAsia="sl-SI"/>
              </w:rPr>
              <w:t>B. RA</w:t>
            </w:r>
            <w:r w:rsidRPr="000149D6">
              <w:rPr>
                <w:rFonts w:ascii="TTE1D18E90t00" w:hAnsi="TTE1D18E90t00" w:cs="Times-BoldItalic"/>
                <w:sz w:val="24"/>
                <w:lang w:eastAsia="sl-SI"/>
              </w:rPr>
              <w:t>C</w:t>
            </w:r>
            <w:r w:rsidRPr="000149D6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lang w:eastAsia="sl-SI"/>
              </w:rPr>
              <w:t>UN FINAN</w:t>
            </w:r>
            <w:r w:rsidRPr="000149D6">
              <w:rPr>
                <w:rFonts w:ascii="TTE1D18E90t00" w:hAnsi="TTE1D18E90t00" w:cs="Times-BoldItalic"/>
                <w:sz w:val="24"/>
                <w:lang w:eastAsia="sl-SI"/>
              </w:rPr>
              <w:t>C</w:t>
            </w:r>
            <w:r w:rsidRPr="000149D6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lang w:eastAsia="sl-SI"/>
              </w:rPr>
              <w:t>NIH TERJATEV IN NALOŽB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IV. PREJETA VRA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ILA DANIH POSOJIL IN PRODAJA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KAPITALSKIH DELEŽEV (750+751+752)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75 PREJETA VRA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ILA DANIH POSOJIL IN PRODAJA KAPITALSKIH DELEŽEV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750 Prejeta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vra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ila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danih posojil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7500 Prejeta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vra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danih posojil od posameznikov in zasebnikov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VI. PREJETA MINUS DANA POSOJILA IN SPREMEMBE KAPITALSKIH DELEŽEV (IV. - V.)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  <w:tr w:rsidR="000149D6" w:rsidRPr="000149D6">
        <w:trPr>
          <w:trHeight w:val="31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Italic" w:hAnsi="Times-BoldItalic" w:cs="Arial"/>
                <w:b/>
                <w:bCs/>
                <w:i/>
                <w:iCs/>
                <w:sz w:val="24"/>
                <w:lang w:eastAsia="sl-SI"/>
              </w:rPr>
            </w:pPr>
            <w:r w:rsidRPr="000149D6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lang w:eastAsia="sl-SI"/>
              </w:rPr>
              <w:t>C. RA</w:t>
            </w:r>
            <w:r w:rsidRPr="000149D6">
              <w:rPr>
                <w:rFonts w:ascii="TTE1D18E90t00" w:hAnsi="TTE1D18E90t00" w:cs="Times-BoldItalic"/>
                <w:sz w:val="24"/>
                <w:lang w:eastAsia="sl-SI"/>
              </w:rPr>
              <w:t>C</w:t>
            </w:r>
            <w:r w:rsidRPr="000149D6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lang w:eastAsia="sl-SI"/>
              </w:rPr>
              <w:t>UN FINANCIRANJA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VII. ZADOLŽEVANJE (500+501)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50 ZADOLŽEVANJE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500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Doma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e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zadolževanje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5000 Najeti krediti pri Banki Slovenije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VIII. ODPLA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ILA DOLGA (550+551)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265.301,00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55 ODPLA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ILA DOLGA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265.301,00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550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Odpla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ila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doma</w:t>
            </w:r>
            <w:r w:rsidRPr="000149D6">
              <w:rPr>
                <w:rFonts w:ascii="TTE1D17A60t00" w:hAnsi="TTE1D17A60t00" w:cs="Times-Bold"/>
                <w:sz w:val="18"/>
                <w:szCs w:val="18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>ega</w:t>
            </w:r>
            <w:proofErr w:type="spellEnd"/>
            <w:r w:rsidRPr="000149D6">
              <w:rPr>
                <w:rFonts w:ascii="Times-Bold" w:hAnsi="Times-Bold" w:cs="Times-Bold"/>
                <w:b/>
                <w:bCs/>
                <w:sz w:val="18"/>
                <w:szCs w:val="18"/>
                <w:lang w:eastAsia="sl-SI"/>
              </w:rPr>
              <w:t xml:space="preserve"> dolga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18"/>
                <w:szCs w:val="18"/>
                <w:lang w:eastAsia="sl-SI"/>
              </w:rPr>
              <w:t>265.301,00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5501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Odpla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kreditov poslovnim bankam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217.101,00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5503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Odpla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ila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kreditov drugim </w:t>
            </w:r>
            <w:proofErr w:type="spellStart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doma</w:t>
            </w:r>
            <w:r w:rsidRPr="000149D6">
              <w:rPr>
                <w:rFonts w:ascii="TTE1D16C08t00" w:hAnsi="TTE1D16C08t00" w:cs="Times-Roman"/>
                <w:sz w:val="16"/>
                <w:szCs w:val="16"/>
                <w:lang w:eastAsia="sl-SI"/>
              </w:rPr>
              <w:t>c</w:t>
            </w:r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>im</w:t>
            </w:r>
            <w:proofErr w:type="spellEnd"/>
            <w:r w:rsidRPr="000149D6">
              <w:rPr>
                <w:rFonts w:ascii="Times-Roman" w:hAnsi="Times-Roman" w:cs="Times-Roman"/>
                <w:sz w:val="16"/>
                <w:szCs w:val="16"/>
                <w:lang w:eastAsia="sl-SI"/>
              </w:rPr>
              <w:t xml:space="preserve"> kreditodajalcem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Roman" w:hAnsi="Times-Roman" w:cs="Arial"/>
                <w:sz w:val="16"/>
                <w:szCs w:val="16"/>
                <w:lang w:eastAsia="sl-SI"/>
              </w:rPr>
            </w:pPr>
            <w:r w:rsidRPr="000149D6">
              <w:rPr>
                <w:rFonts w:ascii="Times-Roman" w:hAnsi="Times-Roman" w:cs="Arial"/>
                <w:sz w:val="16"/>
                <w:szCs w:val="16"/>
                <w:lang w:eastAsia="sl-SI"/>
              </w:rPr>
              <w:t>48.200,00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IX. SPREMEMBA STANJA SREDSTEV NA RA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UNU (I.+IV.+VII.-II.-V.-VIII.)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X. NETO ZADOLŽEVANJE (VII.-VIII.)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-265.301,00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XI. NETO FINANCIRANJE (VI.+X.-IX.)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-265.301,00</w:t>
            </w:r>
          </w:p>
        </w:tc>
      </w:tr>
      <w:tr w:rsidR="000149D6" w:rsidRPr="000149D6">
        <w:trPr>
          <w:trHeight w:val="25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lef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>XII. STANJE SREDSTEV NA RA</w:t>
            </w:r>
            <w:r w:rsidRPr="000149D6">
              <w:rPr>
                <w:rFonts w:ascii="TTE1D17A60t00" w:hAnsi="TTE1D17A60t00" w:cs="Times-Bold"/>
                <w:sz w:val="20"/>
                <w:szCs w:val="20"/>
                <w:lang w:eastAsia="sl-SI"/>
              </w:rPr>
              <w:t>C</w:t>
            </w:r>
            <w:r w:rsidRPr="000149D6">
              <w:rPr>
                <w:rFonts w:ascii="Times-Bold" w:hAnsi="Times-Bold" w:cs="Times-Bold"/>
                <w:b/>
                <w:bCs/>
                <w:sz w:val="20"/>
                <w:szCs w:val="20"/>
                <w:lang w:eastAsia="sl-SI"/>
              </w:rPr>
              <w:t xml:space="preserve">UNIH NA DAN 31.12. PRETEKLEGA LETA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9D6" w:rsidRPr="000149D6" w:rsidRDefault="000149D6" w:rsidP="000149D6">
            <w:pPr>
              <w:jc w:val="right"/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</w:pPr>
            <w:r w:rsidRPr="000149D6">
              <w:rPr>
                <w:rFonts w:ascii="Times-Bold" w:hAnsi="Times-Bold" w:cs="Arial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:rsidR="000149D6" w:rsidRDefault="000149D6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:rsidR="00B80DB1" w:rsidRDefault="00B80DB1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3</w:t>
      </w:r>
      <w:r w:rsidRPr="00A24990">
        <w:rPr>
          <w:sz w:val="20"/>
        </w:rPr>
        <w:t>. člen</w:t>
      </w:r>
    </w:p>
    <w:p w:rsidR="00A64F99" w:rsidRDefault="00A64F99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</w:t>
      </w:r>
      <w:r>
        <w:rPr>
          <w:sz w:val="20"/>
        </w:rPr>
        <w:t xml:space="preserve">posebni del </w:t>
      </w:r>
      <w:r w:rsidRPr="00A24990">
        <w:rPr>
          <w:sz w:val="20"/>
        </w:rPr>
        <w:t>proračuna)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Posebni del proračuna sestavljajo finančni načrti neposrednih uporabnikov, ki so razdeljeni na naslednje programske dele: področja proračunske porabe, glavne programe in podprograme, predpisane s programsko klasifikacijo izdatkov občinskih proračunov. Podprogram je razdeljen na proračunske postavke, te pa na podskupine kontov in konte, določene s predpisanim kontnim načrtom.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Posebni del proračuna do ravni proračunskih postavk - kontov in načrt razvojnih programov sta prilogi k temu odloku in se objavita na spletni strani Občine Mozirje.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Načrt razvojnih programov sestavljajo projekti.</w:t>
      </w:r>
    </w:p>
    <w:p w:rsidR="00FB3235" w:rsidRDefault="00FB3235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7E6DE9" w:rsidRDefault="007E6DE9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3. POSTOPKI IZVRŠEVANJA PRORAČUNA</w:t>
      </w:r>
    </w:p>
    <w:p w:rsidR="0073491D" w:rsidRDefault="0073491D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73491D" w:rsidRPr="00A24990" w:rsidRDefault="0073491D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4</w:t>
      </w:r>
      <w:r w:rsidRPr="00A24990">
        <w:rPr>
          <w:sz w:val="20"/>
        </w:rPr>
        <w:t>. člen</w:t>
      </w:r>
    </w:p>
    <w:p w:rsidR="00B80DB1" w:rsidRPr="00A24990" w:rsidRDefault="00B80DB1" w:rsidP="000159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(izvrševanje proračuna)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Proračun se izvršuje na ravni proračunske postavke.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lastRenderedPageBreak/>
        <w:t>5</w:t>
      </w:r>
      <w:r w:rsidRPr="00A24990">
        <w:rPr>
          <w:sz w:val="20"/>
        </w:rPr>
        <w:t>. člen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(namenski prihodki in odhodki proračuna)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Namenski prihodki proračuna so poleg prihodkov, določenih v prvem stavku prvega odstavka 43. člena ZJF, tudi naslednji prihodki: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1.</w:t>
      </w:r>
      <w:r>
        <w:rPr>
          <w:sz w:val="20"/>
        </w:rPr>
        <w:t xml:space="preserve"> prihodki</w:t>
      </w:r>
      <w:r w:rsidRPr="00A24990">
        <w:rPr>
          <w:sz w:val="20"/>
        </w:rPr>
        <w:t xml:space="preserve"> od prispevkov občanov in se uporabijo za rekonstrukcijo cest.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6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(prerazporejanje pravic porabe)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Osnova za prerazporejanje pravic porabe je zadnji sprejeti proračun, spremembe proračuna ali rebalans proračuna.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O prerazporeditvah pravic porabe v posebnem delu proračuna med glavnimi programi v okviru področja proračunske porabe odloča na predlog neposrednega uporabnika župan. 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Župan</w:t>
      </w:r>
      <w:r>
        <w:rPr>
          <w:sz w:val="20"/>
        </w:rPr>
        <w:t xml:space="preserve"> poroča </w:t>
      </w:r>
      <w:r w:rsidRPr="00A24990">
        <w:rPr>
          <w:sz w:val="20"/>
        </w:rPr>
        <w:t>občinskemu svetu o</w:t>
      </w:r>
      <w:r>
        <w:rPr>
          <w:sz w:val="20"/>
        </w:rPr>
        <w:t xml:space="preserve"> izvrševanju in realizaciji proračuna ob polletju, dokončno pa pri sprejemanju zaključnega računa. 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7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(največji dovoljeni obseg prevzetih obveznosti v breme proračunov prihodnjih let)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Neposredni uporabnik lahko v tekočem letu razpiše javno naročilo za celotno vrednost projekta, ki je vključen v načrt razvojnih programov, če so zanj načrtovane pravice porabe na proračunskih postavkah v sprejetem proračunu.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Skupni obseg prevzetih obveznosti neposrednega uporabnika, ki bodo zapadle v plačilo v prihodnjih letih za investicijske odhodke in investicijske transfere ne sme presegati 75 % pravic porabe v sprejetem finančnem načrtu neposrednega uporabnika, od tega: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1.</w:t>
      </w:r>
      <w:r w:rsidRPr="00A24990">
        <w:rPr>
          <w:sz w:val="20"/>
        </w:rPr>
        <w:tab/>
        <w:t>v letu 20</w:t>
      </w:r>
      <w:r>
        <w:rPr>
          <w:sz w:val="20"/>
        </w:rPr>
        <w:t>1</w:t>
      </w:r>
      <w:r w:rsidR="00984DA0">
        <w:rPr>
          <w:sz w:val="20"/>
        </w:rPr>
        <w:t>6</w:t>
      </w:r>
      <w:r w:rsidRPr="00A24990">
        <w:rPr>
          <w:sz w:val="20"/>
        </w:rPr>
        <w:t xml:space="preserve"> 50 % navedenih pravic porabe in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2.</w:t>
      </w:r>
      <w:r w:rsidRPr="00A24990">
        <w:rPr>
          <w:sz w:val="20"/>
        </w:rPr>
        <w:tab/>
        <w:t>v ostalih prihodnjih letih 25 % navedenih pravic porabe.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Skupni obseg prevzetih obveznosti neposrednega uporabnika, ki bodo zapadle v plačilo v prihodnjih letih za blago in storitve in za tekoče transfere, ne sme presegati 50 % pravic porabe v sprejetem finančnem načrtu neposrednega uporabnika.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Omejitve iz prvega in drugega odstavka tega člena ne veljajo za prevzemanje obveznosti z najemnimi pogodbami, razen če na podlagi teh pogodb lastninska pravica preide oziroma lahko preide iz najemodajalca na najemnika, in prevzemanje obveznosti za dobavo elektrike, telefona, vode, komunaln</w:t>
      </w:r>
      <w:r>
        <w:rPr>
          <w:sz w:val="20"/>
        </w:rPr>
        <w:t>ih storitev</w:t>
      </w:r>
      <w:r w:rsidRPr="00A24990">
        <w:rPr>
          <w:sz w:val="20"/>
        </w:rPr>
        <w:t xml:space="preserve"> in drugih storitev, potrebnih za operativno delovanje neposrednih uporabnikov.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Prevzete obveznosti iz drugega in tretjega odstavka tega člena se načrtujejo v  finančnem načrtu neposrednega uporabnika in načrtu razvojnih programov.</w:t>
      </w:r>
    </w:p>
    <w:p w:rsidR="00FB3235" w:rsidRDefault="00FB3235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8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(spreminjanje načrta razvojnih programov)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Župan  lahko spreminja vrednost projektov v načrtu razvojnih programov. Projekte, katerih vrednost se spremeni za več kot </w:t>
      </w:r>
      <w:r>
        <w:rPr>
          <w:sz w:val="20"/>
        </w:rPr>
        <w:t>1</w:t>
      </w:r>
      <w:r w:rsidR="00530C5C">
        <w:rPr>
          <w:sz w:val="20"/>
        </w:rPr>
        <w:t>0</w:t>
      </w:r>
      <w:r w:rsidRPr="00A24990">
        <w:rPr>
          <w:sz w:val="20"/>
        </w:rPr>
        <w:t>% mora predhodno potrditi občinski svet.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Projekti, za katere se zaradi prenosa pl</w:t>
      </w:r>
      <w:r>
        <w:rPr>
          <w:sz w:val="20"/>
        </w:rPr>
        <w:t>ačil</w:t>
      </w:r>
      <w:r w:rsidRPr="00A24990">
        <w:rPr>
          <w:sz w:val="20"/>
        </w:rPr>
        <w:t xml:space="preserve"> zaključek financiranja prestavi iz predhodnega v tekoče leto, se uvrstijo v načrt razvojnih programov po uveljavitvi proračuna.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Novi projekti se uvrstijo v načrt razvojnih programov na podlagi </w:t>
      </w:r>
      <w:r>
        <w:rPr>
          <w:sz w:val="20"/>
        </w:rPr>
        <w:t>sklepa</w:t>
      </w:r>
      <w:r w:rsidRPr="00A24990">
        <w:rPr>
          <w:sz w:val="20"/>
        </w:rPr>
        <w:t xml:space="preserve"> občinskega sveta.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9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(proračunski skladi)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Proračunski skladi so: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 xml:space="preserve">1.  </w:t>
      </w:r>
      <w:r w:rsidRPr="00A24990">
        <w:rPr>
          <w:sz w:val="20"/>
        </w:rPr>
        <w:t>proračunsk</w:t>
      </w:r>
      <w:r>
        <w:rPr>
          <w:sz w:val="20"/>
        </w:rPr>
        <w:t>a</w:t>
      </w:r>
      <w:r w:rsidRPr="00A24990">
        <w:rPr>
          <w:sz w:val="20"/>
        </w:rPr>
        <w:t xml:space="preserve"> rezerv</w:t>
      </w:r>
      <w:r>
        <w:rPr>
          <w:sz w:val="20"/>
        </w:rPr>
        <w:t xml:space="preserve">a </w:t>
      </w:r>
      <w:r w:rsidRPr="00A24990">
        <w:rPr>
          <w:sz w:val="20"/>
        </w:rPr>
        <w:t xml:space="preserve"> oblikovan</w:t>
      </w:r>
      <w:r>
        <w:rPr>
          <w:sz w:val="20"/>
        </w:rPr>
        <w:t>a</w:t>
      </w:r>
      <w:r w:rsidRPr="00A24990">
        <w:rPr>
          <w:sz w:val="20"/>
        </w:rPr>
        <w:t xml:space="preserve"> po ZJF,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5D2C1C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Proračunska rezerva </w:t>
      </w:r>
      <w:r w:rsidRPr="005D2C1C">
        <w:rPr>
          <w:sz w:val="20"/>
        </w:rPr>
        <w:t>se v letu 201</w:t>
      </w:r>
      <w:r w:rsidR="006251BA">
        <w:rPr>
          <w:sz w:val="20"/>
        </w:rPr>
        <w:t>6</w:t>
      </w:r>
      <w:r w:rsidRPr="005D2C1C">
        <w:rPr>
          <w:sz w:val="20"/>
        </w:rPr>
        <w:t xml:space="preserve"> oblikuje v višini </w:t>
      </w:r>
      <w:r w:rsidR="006251BA">
        <w:rPr>
          <w:sz w:val="20"/>
        </w:rPr>
        <w:t>35.970</w:t>
      </w:r>
      <w:r w:rsidRPr="005D2C1C">
        <w:rPr>
          <w:sz w:val="20"/>
        </w:rPr>
        <w:t>,00 evrov.</w:t>
      </w:r>
    </w:p>
    <w:p w:rsidR="00B80DB1" w:rsidRPr="005D2C1C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5D2C1C">
        <w:rPr>
          <w:sz w:val="20"/>
        </w:rPr>
        <w:t xml:space="preserve">Na predlog občinske uprave odloča o uporabi sredstev proračunske rezerve za namene iz drugega odstavka 49. člena ZJF do višine </w:t>
      </w:r>
      <w:r w:rsidR="006251BA">
        <w:rPr>
          <w:sz w:val="20"/>
        </w:rPr>
        <w:t>35.970</w:t>
      </w:r>
      <w:r w:rsidRPr="005D2C1C">
        <w:rPr>
          <w:sz w:val="20"/>
        </w:rPr>
        <w:t>,00 evrov župan in o tem s pisnimi poročili obvešča občinski svet.</w:t>
      </w:r>
    </w:p>
    <w:p w:rsidR="00B80DB1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7E6DE9" w:rsidRDefault="007E6DE9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73491D" w:rsidRPr="00A24990" w:rsidRDefault="0073491D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0F580A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bCs/>
          <w:sz w:val="20"/>
        </w:rPr>
      </w:pPr>
      <w:r w:rsidRPr="00A24990">
        <w:rPr>
          <w:bCs/>
          <w:sz w:val="20"/>
        </w:rPr>
        <w:lastRenderedPageBreak/>
        <w:t>4. POSEBNOSTI UPRAVLJANJA IN PRODAJE STVARNEGA IN FINANČNEGA PREMOŽENJA DRŽAVE</w:t>
      </w:r>
    </w:p>
    <w:p w:rsidR="00B80DB1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10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(odpis dolgov)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Če so izpolnjeni pogoji iz tretjega odstavka 77. člena ZJF, lahko župan dolžniku do </w:t>
      </w:r>
      <w:r w:rsidRPr="00C758F1">
        <w:rPr>
          <w:sz w:val="20"/>
        </w:rPr>
        <w:t>skupne višine</w:t>
      </w:r>
      <w:r w:rsidRPr="00A24990">
        <w:rPr>
          <w:sz w:val="20"/>
        </w:rPr>
        <w:t xml:space="preserve"> 400</w:t>
      </w:r>
      <w:r>
        <w:rPr>
          <w:sz w:val="20"/>
        </w:rPr>
        <w:t>,00</w:t>
      </w:r>
      <w:r w:rsidRPr="00A24990">
        <w:rPr>
          <w:sz w:val="20"/>
        </w:rPr>
        <w:t xml:space="preserve"> </w:t>
      </w:r>
      <w:r>
        <w:rPr>
          <w:sz w:val="20"/>
        </w:rPr>
        <w:t>ev</w:t>
      </w:r>
      <w:r w:rsidRPr="00A24990">
        <w:rPr>
          <w:sz w:val="20"/>
        </w:rPr>
        <w:t>rov odpiše oziroma delno odpiše plačilo dolga.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30577B" w:rsidRDefault="0030577B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5. OBSEG ZADOLŽEVANJA IN POROŠTEV OBČINE IN JAVNEGA SEKTORJA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11</w:t>
      </w:r>
      <w:r w:rsidRPr="00A24990">
        <w:rPr>
          <w:sz w:val="20"/>
        </w:rPr>
        <w:t>. člen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(obseg zadolževanja občine in izdanih poroštev občine</w:t>
      </w:r>
      <w:r>
        <w:rPr>
          <w:sz w:val="20"/>
        </w:rPr>
        <w:t>)</w:t>
      </w:r>
    </w:p>
    <w:p w:rsidR="00B80DB1" w:rsidRPr="00A24990" w:rsidRDefault="00D2677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>V letu 201</w:t>
      </w:r>
      <w:r w:rsidR="006251BA">
        <w:rPr>
          <w:sz w:val="20"/>
        </w:rPr>
        <w:t>6</w:t>
      </w:r>
      <w:r w:rsidR="00A90772">
        <w:rPr>
          <w:sz w:val="20"/>
        </w:rPr>
        <w:t xml:space="preserve"> se občina Mozirje dodatno zadolžuje</w:t>
      </w:r>
      <w:r w:rsidR="006251BA">
        <w:rPr>
          <w:sz w:val="20"/>
        </w:rPr>
        <w:t xml:space="preserve"> ob soglasju Občinskega Sveta Občine Mozirje</w:t>
      </w:r>
      <w:r w:rsidR="00A90772">
        <w:rPr>
          <w:sz w:val="20"/>
        </w:rPr>
        <w:t>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Obseg poroštev občine za izpolnitev obveznosti javnih zavodov in javnih podjetij, katerih ustanoviteljica je Občina Mozirje</w:t>
      </w:r>
      <w:r>
        <w:rPr>
          <w:sz w:val="20"/>
        </w:rPr>
        <w:t>, v letu 201</w:t>
      </w:r>
      <w:r w:rsidR="006251BA">
        <w:rPr>
          <w:sz w:val="20"/>
        </w:rPr>
        <w:t>6</w:t>
      </w:r>
      <w:r w:rsidRPr="00A24990">
        <w:rPr>
          <w:sz w:val="20"/>
        </w:rPr>
        <w:t xml:space="preserve"> </w:t>
      </w:r>
      <w:r w:rsidR="0049242D">
        <w:rPr>
          <w:sz w:val="20"/>
        </w:rPr>
        <w:t>ni predviden</w:t>
      </w:r>
      <w:r w:rsidRPr="00A24990">
        <w:rPr>
          <w:sz w:val="20"/>
        </w:rPr>
        <w:t>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12</w:t>
      </w:r>
      <w:r w:rsidRPr="00A24990">
        <w:rPr>
          <w:sz w:val="20"/>
        </w:rPr>
        <w:t>. člen</w:t>
      </w:r>
    </w:p>
    <w:p w:rsidR="00B80DB1" w:rsidRPr="00A24990" w:rsidRDefault="00B80DB1" w:rsidP="0049242D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(obseg zadolževanja javnih zavodov in javnih podjetij ter obseg zadolževanja in izdanih poroštev pravnih oseb, v katerih ima občina odločujoč vpliv na upravljanje)</w:t>
      </w:r>
    </w:p>
    <w:p w:rsidR="0049242D" w:rsidRDefault="0049242D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2B7CBC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2B7CBC">
        <w:rPr>
          <w:sz w:val="20"/>
        </w:rPr>
        <w:t>Pravne osebe javnega sektorja na ravni občine</w:t>
      </w:r>
      <w:r w:rsidR="00FA5B6A" w:rsidRPr="002B7CBC">
        <w:rPr>
          <w:sz w:val="20"/>
        </w:rPr>
        <w:t xml:space="preserve"> v katerih ima občina odločujoč vpliv na upravljanje</w:t>
      </w:r>
      <w:r w:rsidRPr="002B7CBC">
        <w:rPr>
          <w:sz w:val="20"/>
        </w:rPr>
        <w:t xml:space="preserve"> (javni zavodi in javna podjetja, katerih ustanoviteljic</w:t>
      </w:r>
      <w:r w:rsidR="0049242D" w:rsidRPr="002B7CBC">
        <w:rPr>
          <w:sz w:val="20"/>
        </w:rPr>
        <w:t xml:space="preserve">a je občina) se </w:t>
      </w:r>
      <w:r w:rsidRPr="002B7CBC">
        <w:rPr>
          <w:sz w:val="20"/>
        </w:rPr>
        <w:t>v letu 201</w:t>
      </w:r>
      <w:r w:rsidR="006251BA">
        <w:rPr>
          <w:sz w:val="20"/>
        </w:rPr>
        <w:t>6</w:t>
      </w:r>
      <w:r w:rsidRPr="002B7CBC">
        <w:rPr>
          <w:sz w:val="20"/>
        </w:rPr>
        <w:t xml:space="preserve"> </w:t>
      </w:r>
      <w:r w:rsidR="00FA5B6A" w:rsidRPr="002B7CBC">
        <w:rPr>
          <w:sz w:val="20"/>
        </w:rPr>
        <w:t>lahko zadolžujejo ob soglasju Občinskega sveta občine Mozirje</w:t>
      </w:r>
      <w:r w:rsidRPr="002B7CBC">
        <w:rPr>
          <w:sz w:val="20"/>
        </w:rPr>
        <w:t>.</w:t>
      </w:r>
    </w:p>
    <w:p w:rsidR="00B80DB1" w:rsidRPr="002B7CBC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FA5B6A" w:rsidRDefault="00FA5B6A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2B7CBC">
        <w:rPr>
          <w:sz w:val="20"/>
        </w:rPr>
        <w:t>V kolikor je za potrebe zadolževanja pravnih oseb iz prvega odstavka potrebno poroštvo občine Mozirje, zadolževanje v letu 201</w:t>
      </w:r>
      <w:r w:rsidR="006251BA">
        <w:rPr>
          <w:sz w:val="20"/>
        </w:rPr>
        <w:t>6</w:t>
      </w:r>
      <w:r w:rsidRPr="002B7CBC">
        <w:rPr>
          <w:sz w:val="20"/>
        </w:rPr>
        <w:t xml:space="preserve"> ni možno.</w:t>
      </w:r>
    </w:p>
    <w:p w:rsidR="0049242D" w:rsidRPr="00A24990" w:rsidRDefault="0049242D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6. PREHODNE IN KONČNE DOLOČBE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13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(začasno financiranje v letu 20</w:t>
      </w:r>
      <w:r>
        <w:rPr>
          <w:sz w:val="20"/>
        </w:rPr>
        <w:t>1</w:t>
      </w:r>
      <w:r w:rsidR="006251BA">
        <w:rPr>
          <w:sz w:val="20"/>
        </w:rPr>
        <w:t>7</w:t>
      </w:r>
      <w:r w:rsidRPr="00A24990">
        <w:rPr>
          <w:sz w:val="20"/>
        </w:rPr>
        <w:t>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V obdobju začasnega financiranja Občine Mozirje v letu 20</w:t>
      </w:r>
      <w:r>
        <w:rPr>
          <w:sz w:val="20"/>
        </w:rPr>
        <w:t>1</w:t>
      </w:r>
      <w:r w:rsidR="006251BA">
        <w:rPr>
          <w:sz w:val="20"/>
        </w:rPr>
        <w:t>7</w:t>
      </w:r>
      <w:r w:rsidRPr="00A24990">
        <w:rPr>
          <w:sz w:val="20"/>
        </w:rPr>
        <w:t>, če bo začasno financiranje potrebno, se uporablja ta odlok in sklep o določitvi začasnega financiranja.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>
        <w:rPr>
          <w:sz w:val="20"/>
        </w:rPr>
        <w:t>14</w:t>
      </w:r>
      <w:r w:rsidRPr="00A24990">
        <w:rPr>
          <w:sz w:val="20"/>
        </w:rPr>
        <w:t>. člen</w:t>
      </w:r>
    </w:p>
    <w:p w:rsidR="00B80DB1" w:rsidRPr="00A24990" w:rsidRDefault="00B80DB1" w:rsidP="000F58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A24990">
        <w:rPr>
          <w:sz w:val="20"/>
        </w:rPr>
        <w:t>(uveljavitev odloka)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Ta odlok začne veljati </w:t>
      </w:r>
      <w:r>
        <w:rPr>
          <w:sz w:val="20"/>
        </w:rPr>
        <w:t xml:space="preserve">z dnem objave v </w:t>
      </w:r>
      <w:r w:rsidRPr="00A24990">
        <w:rPr>
          <w:sz w:val="20"/>
        </w:rPr>
        <w:t>Ura</w:t>
      </w:r>
      <w:r w:rsidR="0023500F">
        <w:rPr>
          <w:sz w:val="20"/>
        </w:rPr>
        <w:t>dnem listu Republike Slovenije, uporablja pa se od 1.1.201</w:t>
      </w:r>
      <w:r w:rsidR="006251BA">
        <w:rPr>
          <w:sz w:val="20"/>
        </w:rPr>
        <w:t>6</w:t>
      </w:r>
      <w:r w:rsidR="0023500F">
        <w:rPr>
          <w:sz w:val="20"/>
        </w:rPr>
        <w:t>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 xml:space="preserve">Številka: </w:t>
      </w:r>
      <w:r w:rsidR="0068589E">
        <w:rPr>
          <w:sz w:val="20"/>
        </w:rPr>
        <w:t xml:space="preserve"> </w:t>
      </w:r>
      <w:r w:rsidR="002B7CBC">
        <w:rPr>
          <w:sz w:val="20"/>
        </w:rPr>
        <w:t>032-00</w:t>
      </w:r>
      <w:r w:rsidR="006251BA">
        <w:rPr>
          <w:sz w:val="20"/>
        </w:rPr>
        <w:t>__</w:t>
      </w:r>
      <w:r w:rsidR="002B7CBC">
        <w:rPr>
          <w:sz w:val="20"/>
        </w:rPr>
        <w:t>/20</w:t>
      </w:r>
      <w:r w:rsidR="00984DA0">
        <w:rPr>
          <w:sz w:val="20"/>
        </w:rPr>
        <w:t>1</w:t>
      </w:r>
      <w:r w:rsidR="006251BA">
        <w:rPr>
          <w:sz w:val="20"/>
        </w:rPr>
        <w:t>5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A24990">
        <w:rPr>
          <w:sz w:val="20"/>
        </w:rPr>
        <w:t>Mozirje</w:t>
      </w:r>
      <w:r>
        <w:rPr>
          <w:sz w:val="20"/>
        </w:rPr>
        <w:t xml:space="preserve">,  </w:t>
      </w:r>
      <w:r w:rsidR="006251BA">
        <w:rPr>
          <w:sz w:val="20"/>
        </w:rPr>
        <w:t>____________</w:t>
      </w:r>
    </w:p>
    <w:p w:rsidR="00B80DB1" w:rsidRDefault="00B80DB1">
      <w:pPr>
        <w:rPr>
          <w:rFonts w:ascii="Times New Roman" w:hAnsi="Times New Roman"/>
          <w:b/>
        </w:rPr>
      </w:pP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  <w:r w:rsidRPr="00A24990">
        <w:rPr>
          <w:sz w:val="20"/>
        </w:rPr>
        <w:tab/>
      </w:r>
    </w:p>
    <w:p w:rsidR="00B80DB1" w:rsidRPr="00D5487F" w:rsidRDefault="00B80DB1">
      <w:pPr>
        <w:ind w:left="5245"/>
        <w:jc w:val="center"/>
        <w:rPr>
          <w:rFonts w:ascii="Times New Roman" w:hAnsi="Times New Roman"/>
        </w:rPr>
      </w:pPr>
      <w:r w:rsidRPr="00D5487F">
        <w:rPr>
          <w:rFonts w:ascii="Times New Roman" w:hAnsi="Times New Roman"/>
        </w:rPr>
        <w:t>ŽUPAN OBČINE MOZIRJE</w:t>
      </w:r>
    </w:p>
    <w:p w:rsidR="00B80DB1" w:rsidRPr="00D5487F" w:rsidRDefault="00B80DB1">
      <w:pPr>
        <w:pStyle w:val="Naslov1"/>
        <w:ind w:left="5245" w:firstLine="0"/>
        <w:rPr>
          <w:rFonts w:ascii="Times New Roman" w:hAnsi="Times New Roman"/>
          <w:b w:val="0"/>
        </w:rPr>
      </w:pPr>
      <w:r w:rsidRPr="00D5487F">
        <w:rPr>
          <w:rFonts w:ascii="Times New Roman" w:hAnsi="Times New Roman"/>
          <w:b w:val="0"/>
        </w:rPr>
        <w:t>Ivan SUHOVERŠNIK</w:t>
      </w:r>
      <w:r>
        <w:rPr>
          <w:rFonts w:ascii="Times New Roman" w:hAnsi="Times New Roman"/>
          <w:b w:val="0"/>
        </w:rPr>
        <w:t>, l.r.</w:t>
      </w:r>
    </w:p>
    <w:p w:rsidR="00B80DB1" w:rsidRPr="00A24990" w:rsidRDefault="00B80DB1" w:rsidP="00B80DB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:rsidR="00B80DB1" w:rsidRDefault="00B80DB1" w:rsidP="00B80DB1"/>
    <w:p w:rsidR="00B80DB1" w:rsidRDefault="00B80DB1" w:rsidP="00B80DB1"/>
    <w:p w:rsidR="002E062A" w:rsidRDefault="002E062A"/>
    <w:sectPr w:rsidR="002E062A" w:rsidSect="00015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0C" w:rsidRDefault="00D5580C">
      <w:r>
        <w:separator/>
      </w:r>
    </w:p>
  </w:endnote>
  <w:endnote w:type="continuationSeparator" w:id="0">
    <w:p w:rsidR="00D5580C" w:rsidRDefault="00D5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17A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16C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18E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8" w:rsidRDefault="00CC466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8" w:rsidRDefault="00CC4668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8" w:rsidRDefault="00CC466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0C" w:rsidRDefault="00D5580C">
      <w:r>
        <w:separator/>
      </w:r>
    </w:p>
  </w:footnote>
  <w:footnote w:type="continuationSeparator" w:id="0">
    <w:p w:rsidR="00D5580C" w:rsidRDefault="00D5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8" w:rsidRDefault="00CC466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35" w:rsidRDefault="006251BA" w:rsidP="0071256B">
    <w:pPr>
      <w:pStyle w:val="Glava"/>
      <w:jc w:val="right"/>
    </w:pPr>
    <w:r>
      <w:t xml:space="preserve">proračun 2016 - </w:t>
    </w:r>
    <w:r w:rsidR="00CC4668">
      <w:t>druga</w:t>
    </w:r>
    <w:r w:rsidR="00267CD0">
      <w:t xml:space="preserve"> obravnava</w:t>
    </w:r>
    <w:r w:rsidR="00FB3235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8" w:rsidRDefault="00CC466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B1"/>
    <w:rsid w:val="000149D6"/>
    <w:rsid w:val="000159CE"/>
    <w:rsid w:val="00036A19"/>
    <w:rsid w:val="00046BBE"/>
    <w:rsid w:val="000B1190"/>
    <w:rsid w:val="000E040F"/>
    <w:rsid w:val="000F580A"/>
    <w:rsid w:val="001019C3"/>
    <w:rsid w:val="0010704B"/>
    <w:rsid w:val="0012369C"/>
    <w:rsid w:val="00125B8A"/>
    <w:rsid w:val="00147793"/>
    <w:rsid w:val="001B3641"/>
    <w:rsid w:val="001C2512"/>
    <w:rsid w:val="001E4584"/>
    <w:rsid w:val="001E5F9D"/>
    <w:rsid w:val="001E6372"/>
    <w:rsid w:val="0021156F"/>
    <w:rsid w:val="0021357D"/>
    <w:rsid w:val="00216EBC"/>
    <w:rsid w:val="002248C9"/>
    <w:rsid w:val="0023500F"/>
    <w:rsid w:val="0024460B"/>
    <w:rsid w:val="00247037"/>
    <w:rsid w:val="0025606F"/>
    <w:rsid w:val="00267CD0"/>
    <w:rsid w:val="002716DD"/>
    <w:rsid w:val="00290C58"/>
    <w:rsid w:val="002B0168"/>
    <w:rsid w:val="002B7CBC"/>
    <w:rsid w:val="002E062A"/>
    <w:rsid w:val="002F307D"/>
    <w:rsid w:val="0030577B"/>
    <w:rsid w:val="003136C6"/>
    <w:rsid w:val="0031652E"/>
    <w:rsid w:val="00352309"/>
    <w:rsid w:val="00376FB1"/>
    <w:rsid w:val="0039792C"/>
    <w:rsid w:val="003C373A"/>
    <w:rsid w:val="0040047B"/>
    <w:rsid w:val="00443067"/>
    <w:rsid w:val="004473F4"/>
    <w:rsid w:val="0049242D"/>
    <w:rsid w:val="004E150D"/>
    <w:rsid w:val="00513614"/>
    <w:rsid w:val="00530C5C"/>
    <w:rsid w:val="00541DEA"/>
    <w:rsid w:val="005D2C1C"/>
    <w:rsid w:val="00624D66"/>
    <w:rsid w:val="006251BA"/>
    <w:rsid w:val="00665155"/>
    <w:rsid w:val="00670099"/>
    <w:rsid w:val="0068589E"/>
    <w:rsid w:val="006A74B5"/>
    <w:rsid w:val="006E4E90"/>
    <w:rsid w:val="006F317F"/>
    <w:rsid w:val="0071256B"/>
    <w:rsid w:val="0073491D"/>
    <w:rsid w:val="0075617E"/>
    <w:rsid w:val="00774FF4"/>
    <w:rsid w:val="0078590A"/>
    <w:rsid w:val="0079297F"/>
    <w:rsid w:val="007C5CFF"/>
    <w:rsid w:val="007E6DE9"/>
    <w:rsid w:val="007F2E89"/>
    <w:rsid w:val="007F43C0"/>
    <w:rsid w:val="008134CF"/>
    <w:rsid w:val="00815C81"/>
    <w:rsid w:val="00833100"/>
    <w:rsid w:val="008759AA"/>
    <w:rsid w:val="008F2B80"/>
    <w:rsid w:val="008F50EB"/>
    <w:rsid w:val="009047D0"/>
    <w:rsid w:val="009152AE"/>
    <w:rsid w:val="0091583C"/>
    <w:rsid w:val="009736AD"/>
    <w:rsid w:val="00982248"/>
    <w:rsid w:val="00982EEE"/>
    <w:rsid w:val="00984753"/>
    <w:rsid w:val="00984DA0"/>
    <w:rsid w:val="009951D1"/>
    <w:rsid w:val="00A01A6E"/>
    <w:rsid w:val="00A1357F"/>
    <w:rsid w:val="00A23999"/>
    <w:rsid w:val="00A57FB8"/>
    <w:rsid w:val="00A64F99"/>
    <w:rsid w:val="00A82B4C"/>
    <w:rsid w:val="00A8425E"/>
    <w:rsid w:val="00A9040B"/>
    <w:rsid w:val="00A90772"/>
    <w:rsid w:val="00AB6620"/>
    <w:rsid w:val="00AD3C88"/>
    <w:rsid w:val="00AF21A9"/>
    <w:rsid w:val="00B80DB1"/>
    <w:rsid w:val="00C46211"/>
    <w:rsid w:val="00C71FE2"/>
    <w:rsid w:val="00CB63B3"/>
    <w:rsid w:val="00CB79B5"/>
    <w:rsid w:val="00CC4668"/>
    <w:rsid w:val="00CE306F"/>
    <w:rsid w:val="00D02DDA"/>
    <w:rsid w:val="00D11746"/>
    <w:rsid w:val="00D26771"/>
    <w:rsid w:val="00D5580C"/>
    <w:rsid w:val="00DA68C6"/>
    <w:rsid w:val="00DB2F04"/>
    <w:rsid w:val="00DF7E81"/>
    <w:rsid w:val="00E07B1F"/>
    <w:rsid w:val="00E95DC9"/>
    <w:rsid w:val="00ED5D91"/>
    <w:rsid w:val="00F842C6"/>
    <w:rsid w:val="00FA5B6A"/>
    <w:rsid w:val="00FB3235"/>
    <w:rsid w:val="00FC28F0"/>
    <w:rsid w:val="00FF6C03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80DB1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qFormat/>
    <w:rsid w:val="00B80DB1"/>
    <w:pPr>
      <w:keepNext/>
      <w:ind w:left="5664" w:firstLine="708"/>
      <w:jc w:val="center"/>
      <w:outlineLvl w:val="0"/>
    </w:pPr>
    <w:rPr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80DB1"/>
    <w:pPr>
      <w:tabs>
        <w:tab w:val="left" w:pos="-1440"/>
      </w:tabs>
    </w:pPr>
    <w:rPr>
      <w:rFonts w:ascii="Times New Roman" w:hAnsi="Times New Roman"/>
      <w:sz w:val="24"/>
      <w:szCs w:val="20"/>
    </w:rPr>
  </w:style>
  <w:style w:type="paragraph" w:styleId="Glava">
    <w:name w:val="header"/>
    <w:basedOn w:val="Navaden"/>
    <w:rsid w:val="007125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1256B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82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1434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</vt:lpstr>
    </vt:vector>
  </TitlesOfParts>
  <Company>Občina Mozirje</Company>
  <LinksUpToDate>false</LinksUpToDate>
  <CharactersWithSpaces>13290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http://www.uradni-list.si/1/objava.jsp?urlurid=20143441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creator>Nada Klančnik</dc:creator>
  <cp:lastModifiedBy>Jani</cp:lastModifiedBy>
  <cp:revision>3</cp:revision>
  <cp:lastPrinted>2014-12-04T15:45:00Z</cp:lastPrinted>
  <dcterms:created xsi:type="dcterms:W3CDTF">2015-12-16T15:27:00Z</dcterms:created>
  <dcterms:modified xsi:type="dcterms:W3CDTF">2015-12-16T15:29:00Z</dcterms:modified>
</cp:coreProperties>
</file>