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AE" w:rsidRDefault="007D0BAE" w:rsidP="00BA4F07"/>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82711D" w:rsidRPr="0082711D" w:rsidTr="006852B9">
        <w:tc>
          <w:tcPr>
            <w:tcW w:w="2268" w:type="dxa"/>
          </w:tcPr>
          <w:p w:rsidR="0082711D" w:rsidRPr="0082711D" w:rsidRDefault="0082711D" w:rsidP="006852B9">
            <w:pPr>
              <w:keepNext/>
              <w:overflowPunct w:val="0"/>
              <w:autoSpaceDE w:val="0"/>
              <w:autoSpaceDN w:val="0"/>
              <w:adjustRightInd w:val="0"/>
              <w:ind w:right="141"/>
              <w:jc w:val="center"/>
              <w:textAlignment w:val="baseline"/>
              <w:outlineLvl w:val="0"/>
              <w:rPr>
                <w:b/>
                <w:szCs w:val="20"/>
              </w:rPr>
            </w:pPr>
            <w:r w:rsidRPr="0082711D">
              <w:rPr>
                <w:b/>
                <w:szCs w:val="20"/>
              </w:rPr>
              <w:t xml:space="preserve">  OBČINA</w:t>
            </w:r>
          </w:p>
          <w:p w:rsidR="0082711D" w:rsidRPr="0082711D" w:rsidRDefault="0082711D" w:rsidP="006852B9">
            <w:pPr>
              <w:ind w:right="141"/>
              <w:jc w:val="center"/>
              <w:rPr>
                <w:b/>
              </w:rPr>
            </w:pPr>
            <w:r w:rsidRPr="0082711D">
              <w:rPr>
                <w:b/>
              </w:rPr>
              <w:t>LOŠKI POTOK</w:t>
            </w:r>
          </w:p>
          <w:p w:rsidR="0082711D" w:rsidRPr="0082711D" w:rsidRDefault="0082711D" w:rsidP="006852B9">
            <w:pPr>
              <w:keepNext/>
              <w:overflowPunct w:val="0"/>
              <w:autoSpaceDE w:val="0"/>
              <w:autoSpaceDN w:val="0"/>
              <w:adjustRightInd w:val="0"/>
              <w:ind w:right="141"/>
              <w:jc w:val="center"/>
              <w:textAlignment w:val="baseline"/>
              <w:outlineLvl w:val="7"/>
              <w:rPr>
                <w:b/>
                <w:szCs w:val="20"/>
              </w:rPr>
            </w:pPr>
            <w:r w:rsidRPr="0082711D">
              <w:rPr>
                <w:b/>
                <w:szCs w:val="20"/>
              </w:rPr>
              <w:t>Hrib 17</w:t>
            </w:r>
          </w:p>
          <w:p w:rsidR="0082711D" w:rsidRPr="0082711D" w:rsidRDefault="0082711D" w:rsidP="006852B9">
            <w:pPr>
              <w:ind w:right="141"/>
              <w:jc w:val="center"/>
              <w:rPr>
                <w:b/>
              </w:rPr>
            </w:pPr>
            <w:r w:rsidRPr="0082711D">
              <w:rPr>
                <w:b/>
              </w:rPr>
              <w:t>1318 Loški Potok</w:t>
            </w:r>
          </w:p>
          <w:p w:rsidR="0082711D" w:rsidRPr="0082711D" w:rsidRDefault="0082711D" w:rsidP="006852B9">
            <w:pPr>
              <w:ind w:right="141"/>
              <w:jc w:val="center"/>
              <w:rPr>
                <w:b/>
              </w:rPr>
            </w:pPr>
            <w:r w:rsidRPr="0082711D">
              <w:rPr>
                <w:b/>
              </w:rPr>
              <w:t>Tel.: 8350-100</w:t>
            </w:r>
          </w:p>
          <w:p w:rsidR="0082711D" w:rsidRPr="0082711D" w:rsidRDefault="0082711D" w:rsidP="006852B9">
            <w:pPr>
              <w:ind w:right="141"/>
              <w:jc w:val="center"/>
              <w:rPr>
                <w:b/>
              </w:rPr>
            </w:pPr>
            <w:proofErr w:type="spellStart"/>
            <w:r w:rsidRPr="0082711D">
              <w:rPr>
                <w:b/>
              </w:rPr>
              <w:t>Fax</w:t>
            </w:r>
            <w:proofErr w:type="spellEnd"/>
            <w:r w:rsidRPr="0082711D">
              <w:rPr>
                <w:b/>
              </w:rPr>
              <w:t>.: 8350-102</w:t>
            </w:r>
          </w:p>
        </w:tc>
        <w:tc>
          <w:tcPr>
            <w:tcW w:w="4678" w:type="dxa"/>
          </w:tcPr>
          <w:p w:rsidR="0082711D" w:rsidRPr="0082711D" w:rsidRDefault="0082711D" w:rsidP="006852B9">
            <w:pPr>
              <w:ind w:right="141"/>
              <w:jc w:val="both"/>
              <w:rPr>
                <w:b/>
              </w:rPr>
            </w:pPr>
            <w:r w:rsidRPr="0082711D">
              <w:rPr>
                <w:noProof/>
                <w:color w:val="222222"/>
                <w:sz w:val="20"/>
              </w:rPr>
              <w:drawing>
                <wp:anchor distT="0" distB="0" distL="114300" distR="114300" simplePos="0" relativeHeight="251660288" behindDoc="0" locked="0" layoutInCell="1" allowOverlap="1" wp14:anchorId="463931D5" wp14:editId="1B3994D8">
                  <wp:simplePos x="0" y="0"/>
                  <wp:positionH relativeFrom="column">
                    <wp:posOffset>891540</wp:posOffset>
                  </wp:positionH>
                  <wp:positionV relativeFrom="paragraph">
                    <wp:posOffset>-635</wp:posOffset>
                  </wp:positionV>
                  <wp:extent cx="861060" cy="1024890"/>
                  <wp:effectExtent l="0" t="0" r="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82711D" w:rsidRPr="0082711D" w:rsidRDefault="0082711D" w:rsidP="006852B9">
            <w:pPr>
              <w:ind w:right="141"/>
              <w:jc w:val="both"/>
              <w:rPr>
                <w:b/>
              </w:rPr>
            </w:pPr>
          </w:p>
          <w:p w:rsidR="0082711D" w:rsidRPr="0082711D" w:rsidRDefault="0082711D" w:rsidP="006852B9">
            <w:pPr>
              <w:ind w:right="141"/>
              <w:jc w:val="both"/>
              <w:rPr>
                <w:b/>
              </w:rPr>
            </w:pPr>
          </w:p>
          <w:p w:rsidR="0082711D" w:rsidRPr="0082711D" w:rsidRDefault="0082711D" w:rsidP="006852B9">
            <w:pPr>
              <w:ind w:right="141"/>
              <w:jc w:val="both"/>
              <w:rPr>
                <w:b/>
              </w:rPr>
            </w:pPr>
          </w:p>
          <w:p w:rsidR="0082711D" w:rsidRPr="0082711D" w:rsidRDefault="0082711D" w:rsidP="006852B9">
            <w:pPr>
              <w:ind w:right="141"/>
              <w:jc w:val="both"/>
              <w:rPr>
                <w:b/>
              </w:rPr>
            </w:pPr>
          </w:p>
          <w:p w:rsidR="0082711D" w:rsidRPr="0082711D" w:rsidRDefault="0082711D" w:rsidP="006852B9">
            <w:pPr>
              <w:ind w:right="141"/>
              <w:jc w:val="both"/>
              <w:rPr>
                <w:b/>
              </w:rPr>
            </w:pPr>
          </w:p>
          <w:p w:rsidR="0082711D" w:rsidRPr="0082711D" w:rsidRDefault="001E1F51" w:rsidP="006852B9">
            <w:pPr>
              <w:ind w:right="141"/>
              <w:jc w:val="both"/>
              <w:rPr>
                <w:b/>
                <w:sz w:val="36"/>
                <w:szCs w:val="36"/>
              </w:rPr>
            </w:pPr>
            <w:r>
              <w:rPr>
                <w:b/>
                <w:sz w:val="36"/>
                <w:szCs w:val="36"/>
              </w:rPr>
              <w:t xml:space="preserve">ESA: </w:t>
            </w:r>
            <w:r w:rsidR="001C03DD">
              <w:rPr>
                <w:b/>
                <w:sz w:val="36"/>
                <w:szCs w:val="36"/>
              </w:rPr>
              <w:t>32</w:t>
            </w:r>
            <w:bookmarkStart w:id="0" w:name="_GoBack"/>
            <w:bookmarkEnd w:id="0"/>
          </w:p>
        </w:tc>
      </w:tr>
    </w:tbl>
    <w:p w:rsidR="0082711D" w:rsidRPr="0082711D" w:rsidRDefault="0082711D" w:rsidP="0082711D">
      <w:pPr>
        <w:jc w:val="both"/>
        <w:rPr>
          <w:color w:val="222222"/>
          <w:sz w:val="20"/>
        </w:rPr>
      </w:pPr>
    </w:p>
    <w:p w:rsidR="00831BE7" w:rsidRDefault="00831BE7" w:rsidP="0082711D">
      <w:pPr>
        <w:rPr>
          <w:szCs w:val="20"/>
        </w:rPr>
      </w:pPr>
    </w:p>
    <w:p w:rsidR="0082711D" w:rsidRPr="0082711D" w:rsidRDefault="0082711D" w:rsidP="0082711D">
      <w:pPr>
        <w:rPr>
          <w:szCs w:val="20"/>
        </w:rPr>
      </w:pPr>
      <w:r w:rsidRPr="0082711D">
        <w:rPr>
          <w:szCs w:val="20"/>
        </w:rPr>
        <w:t>Datum:</w:t>
      </w:r>
      <w:r>
        <w:rPr>
          <w:szCs w:val="20"/>
        </w:rPr>
        <w:t xml:space="preserve"> 9.9.2015</w:t>
      </w:r>
    </w:p>
    <w:p w:rsidR="0082711D" w:rsidRPr="0082711D" w:rsidRDefault="0082711D" w:rsidP="0082711D">
      <w:pPr>
        <w:jc w:val="both"/>
        <w:rPr>
          <w:color w:val="222222"/>
        </w:rPr>
      </w:pPr>
    </w:p>
    <w:p w:rsidR="003D60B3" w:rsidRDefault="0082711D" w:rsidP="00472629">
      <w:pPr>
        <w:rPr>
          <w:b/>
          <w:caps/>
          <w:sz w:val="28"/>
          <w:szCs w:val="28"/>
        </w:rPr>
      </w:pPr>
      <w:r w:rsidRPr="0082711D">
        <w:rPr>
          <w:b/>
          <w:color w:val="222222"/>
        </w:rPr>
        <w:t>ZADEVA:</w:t>
      </w:r>
      <w:r w:rsidRPr="0082711D">
        <w:rPr>
          <w:b/>
          <w:color w:val="222222"/>
        </w:rPr>
        <w:tab/>
      </w:r>
      <w:r w:rsidR="00472629" w:rsidRPr="003D60B3">
        <w:rPr>
          <w:b/>
          <w:caps/>
          <w:sz w:val="28"/>
          <w:szCs w:val="28"/>
        </w:rPr>
        <w:t>Poročilo o izvrševa</w:t>
      </w:r>
      <w:r w:rsidR="003D60B3">
        <w:rPr>
          <w:b/>
          <w:caps/>
          <w:sz w:val="28"/>
          <w:szCs w:val="28"/>
        </w:rPr>
        <w:t xml:space="preserve">nju proračuna občine  </w:t>
      </w:r>
    </w:p>
    <w:p w:rsidR="00472629" w:rsidRPr="003D60B3" w:rsidRDefault="003D60B3" w:rsidP="00472629">
      <w:pPr>
        <w:rPr>
          <w:b/>
          <w:caps/>
          <w:sz w:val="28"/>
          <w:szCs w:val="28"/>
        </w:rPr>
      </w:pPr>
      <w:r>
        <w:rPr>
          <w:b/>
          <w:caps/>
          <w:sz w:val="28"/>
          <w:szCs w:val="28"/>
        </w:rPr>
        <w:t xml:space="preserve">                    LOŠKI POTOK V PRVEM POLLETJU LETA 2015                                      </w:t>
      </w:r>
      <w:r w:rsidR="00472629" w:rsidRPr="003D60B3">
        <w:rPr>
          <w:b/>
          <w:caps/>
          <w:sz w:val="28"/>
          <w:szCs w:val="28"/>
        </w:rPr>
        <w:t xml:space="preserve">         </w:t>
      </w:r>
    </w:p>
    <w:p w:rsidR="0082711D" w:rsidRPr="003D60B3" w:rsidRDefault="00472629" w:rsidP="0082711D">
      <w:pPr>
        <w:tabs>
          <w:tab w:val="left" w:pos="1985"/>
        </w:tabs>
        <w:jc w:val="both"/>
        <w:rPr>
          <w:b/>
          <w:caps/>
          <w:color w:val="222222"/>
          <w:sz w:val="28"/>
          <w:szCs w:val="28"/>
        </w:rPr>
      </w:pPr>
      <w:r w:rsidRPr="003D60B3">
        <w:rPr>
          <w:b/>
          <w:caps/>
          <w:color w:val="222222"/>
          <w:sz w:val="28"/>
          <w:szCs w:val="28"/>
        </w:rPr>
        <w:t xml:space="preserve">                   </w:t>
      </w:r>
      <w:r w:rsidR="003D60B3">
        <w:rPr>
          <w:b/>
          <w:caps/>
          <w:color w:val="222222"/>
          <w:sz w:val="28"/>
          <w:szCs w:val="28"/>
        </w:rPr>
        <w:t xml:space="preserve">                                                                       </w:t>
      </w:r>
      <w:r w:rsidRPr="003D60B3">
        <w:rPr>
          <w:b/>
          <w:caps/>
          <w:color w:val="222222"/>
          <w:sz w:val="28"/>
          <w:szCs w:val="28"/>
        </w:rPr>
        <w:t xml:space="preserve"> </w:t>
      </w:r>
      <w:r w:rsidR="003D60B3">
        <w:rPr>
          <w:b/>
          <w:caps/>
          <w:color w:val="222222"/>
          <w:sz w:val="28"/>
          <w:szCs w:val="28"/>
        </w:rPr>
        <w:t xml:space="preserve"> </w:t>
      </w:r>
    </w:p>
    <w:p w:rsidR="00472629" w:rsidRPr="0082711D" w:rsidRDefault="00472629" w:rsidP="0082711D">
      <w:pPr>
        <w:tabs>
          <w:tab w:val="left" w:pos="1985"/>
        </w:tabs>
        <w:jc w:val="both"/>
        <w:rPr>
          <w:b/>
          <w:color w:val="222222"/>
        </w:rPr>
      </w:pPr>
    </w:p>
    <w:p w:rsidR="0082711D" w:rsidRPr="0082711D" w:rsidRDefault="0082711D" w:rsidP="0082711D">
      <w:pPr>
        <w:tabs>
          <w:tab w:val="left" w:pos="1985"/>
        </w:tabs>
        <w:ind w:left="1985" w:hanging="1985"/>
        <w:jc w:val="both"/>
        <w:rPr>
          <w:color w:val="222222"/>
        </w:rPr>
      </w:pPr>
      <w:r w:rsidRPr="0082711D">
        <w:rPr>
          <w:b/>
          <w:color w:val="222222"/>
        </w:rPr>
        <w:t>PRAVNA PODLAGA:</w:t>
      </w:r>
      <w:r w:rsidRPr="0082711D">
        <w:rPr>
          <w:color w:val="222222"/>
        </w:rPr>
        <w:t xml:space="preserve"> </w:t>
      </w:r>
      <w:r w:rsidR="00472629">
        <w:rPr>
          <w:color w:val="222222"/>
        </w:rPr>
        <w:t xml:space="preserve">63. člen Zakona o javnih financah </w:t>
      </w:r>
    </w:p>
    <w:p w:rsidR="0082711D" w:rsidRPr="0082711D" w:rsidRDefault="0082711D" w:rsidP="0082711D">
      <w:pPr>
        <w:tabs>
          <w:tab w:val="left" w:pos="1985"/>
        </w:tabs>
        <w:ind w:left="1985" w:hanging="1985"/>
        <w:jc w:val="both"/>
        <w:rPr>
          <w:color w:val="222222"/>
        </w:rPr>
      </w:pPr>
    </w:p>
    <w:p w:rsidR="0082711D" w:rsidRPr="0082711D" w:rsidRDefault="0082711D" w:rsidP="0082711D">
      <w:pPr>
        <w:tabs>
          <w:tab w:val="left" w:pos="1985"/>
        </w:tabs>
        <w:ind w:left="1985" w:hanging="1985"/>
        <w:jc w:val="both"/>
        <w:rPr>
          <w:b/>
          <w:color w:val="222222"/>
        </w:rPr>
      </w:pPr>
      <w:r w:rsidRPr="0082711D">
        <w:rPr>
          <w:b/>
          <w:color w:val="222222"/>
        </w:rPr>
        <w:t>PREDLAGATELJ:</w:t>
      </w:r>
      <w:r w:rsidRPr="0082711D">
        <w:rPr>
          <w:b/>
          <w:color w:val="222222"/>
        </w:rPr>
        <w:tab/>
      </w:r>
      <w:r w:rsidRPr="0082711D">
        <w:rPr>
          <w:color w:val="222222"/>
        </w:rPr>
        <w:t>Ivan Benčina, župan</w:t>
      </w:r>
    </w:p>
    <w:p w:rsidR="0082711D" w:rsidRPr="0082711D" w:rsidRDefault="0082711D" w:rsidP="0082711D">
      <w:pPr>
        <w:tabs>
          <w:tab w:val="left" w:pos="7180"/>
        </w:tabs>
        <w:ind w:left="1985" w:hanging="1985"/>
        <w:jc w:val="both"/>
        <w:rPr>
          <w:color w:val="222222"/>
        </w:rPr>
      </w:pPr>
      <w:r w:rsidRPr="0082711D">
        <w:rPr>
          <w:color w:val="222222"/>
        </w:rPr>
        <w:tab/>
      </w:r>
      <w:r w:rsidRPr="0082711D">
        <w:rPr>
          <w:color w:val="222222"/>
        </w:rPr>
        <w:tab/>
      </w:r>
    </w:p>
    <w:p w:rsidR="0082711D" w:rsidRPr="001E1F51" w:rsidRDefault="0082711D" w:rsidP="0082711D">
      <w:pPr>
        <w:tabs>
          <w:tab w:val="left" w:pos="1985"/>
        </w:tabs>
        <w:ind w:left="1985" w:hanging="1985"/>
        <w:jc w:val="both"/>
        <w:rPr>
          <w:color w:val="222222"/>
        </w:rPr>
      </w:pPr>
      <w:r w:rsidRPr="0082711D">
        <w:rPr>
          <w:b/>
          <w:color w:val="222222"/>
        </w:rPr>
        <w:t>PRIPRAVLJAVCI:</w:t>
      </w:r>
      <w:r w:rsidRPr="0082711D">
        <w:rPr>
          <w:b/>
          <w:color w:val="222222"/>
        </w:rPr>
        <w:tab/>
      </w:r>
      <w:r w:rsidRPr="001E1F51">
        <w:rPr>
          <w:color w:val="222222"/>
        </w:rPr>
        <w:t>Občinska uprava Občine LOŠKI POTOK</w:t>
      </w:r>
    </w:p>
    <w:p w:rsidR="0082711D" w:rsidRPr="001E1F51" w:rsidRDefault="0082711D" w:rsidP="0082711D">
      <w:pPr>
        <w:tabs>
          <w:tab w:val="left" w:pos="1985"/>
        </w:tabs>
        <w:ind w:left="1985" w:hanging="1985"/>
        <w:jc w:val="both"/>
        <w:rPr>
          <w:color w:val="222222"/>
        </w:rPr>
      </w:pPr>
    </w:p>
    <w:p w:rsidR="0082711D" w:rsidRPr="0082711D" w:rsidRDefault="0082711D" w:rsidP="0082711D">
      <w:pPr>
        <w:tabs>
          <w:tab w:val="left" w:pos="1985"/>
        </w:tabs>
        <w:ind w:left="1985" w:hanging="1985"/>
        <w:jc w:val="both"/>
        <w:rPr>
          <w:color w:val="222222"/>
        </w:rPr>
      </w:pPr>
      <w:r>
        <w:rPr>
          <w:b/>
          <w:color w:val="222222"/>
        </w:rPr>
        <w:t>POROČEVALEC</w:t>
      </w:r>
      <w:r w:rsidRPr="0082711D">
        <w:rPr>
          <w:color w:val="222222"/>
        </w:rPr>
        <w:t>:  Ivanka Novak</w:t>
      </w:r>
    </w:p>
    <w:p w:rsidR="0082711D" w:rsidRPr="0082711D" w:rsidRDefault="0082711D" w:rsidP="0082711D">
      <w:pPr>
        <w:tabs>
          <w:tab w:val="left" w:pos="1985"/>
        </w:tabs>
        <w:ind w:left="1985" w:hanging="1985"/>
        <w:jc w:val="both"/>
        <w:rPr>
          <w:color w:val="222222"/>
        </w:rPr>
      </w:pPr>
    </w:p>
    <w:p w:rsidR="0082711D" w:rsidRPr="0082711D" w:rsidRDefault="0082711D" w:rsidP="0082711D">
      <w:pPr>
        <w:tabs>
          <w:tab w:val="left" w:pos="1985"/>
        </w:tabs>
        <w:ind w:left="1985" w:hanging="1985"/>
        <w:jc w:val="both"/>
        <w:rPr>
          <w:b/>
          <w:color w:val="222222"/>
        </w:rPr>
      </w:pPr>
      <w:r w:rsidRPr="0082711D">
        <w:rPr>
          <w:b/>
          <w:color w:val="222222"/>
        </w:rPr>
        <w:t>OBRAZLOŽITEV:</w:t>
      </w:r>
    </w:p>
    <w:p w:rsidR="00BA4F07" w:rsidRDefault="00BA4F07" w:rsidP="00BA4F07">
      <w:pPr>
        <w:jc w:val="center"/>
        <w:rPr>
          <w:b/>
        </w:rPr>
      </w:pPr>
    </w:p>
    <w:p w:rsidR="00BA4F07" w:rsidRDefault="00BA4F07" w:rsidP="00BA4F07">
      <w:pPr>
        <w:jc w:val="both"/>
      </w:pPr>
      <w:r>
        <w:t>Na podlagi 63. člena Zakona o javnih financah župan poroča občinskemu svetu o izvrševanju proračuna v prvem polletju tekočega leta.</w:t>
      </w:r>
    </w:p>
    <w:p w:rsidR="00BA4F07" w:rsidRDefault="00BA4F07" w:rsidP="00BA4F07">
      <w:pPr>
        <w:jc w:val="both"/>
      </w:pPr>
    </w:p>
    <w:p w:rsidR="00BA4F07" w:rsidRDefault="00BA4F07" w:rsidP="00BA4F07">
      <w:pPr>
        <w:jc w:val="both"/>
      </w:pPr>
      <w:r>
        <w:t xml:space="preserve">Poročilo o izvrševanju proračuna prikazuje realizacijo prihodkov in odhodkov za prvo obdobje </w:t>
      </w:r>
      <w:r w:rsidR="00E56B9D">
        <w:t xml:space="preserve">letošnjega leta  od 1.1. </w:t>
      </w:r>
      <w:r w:rsidR="00AC7449">
        <w:t xml:space="preserve"> do 30.06.2015</w:t>
      </w:r>
      <w:r>
        <w:t>.</w:t>
      </w:r>
    </w:p>
    <w:p w:rsidR="00BA4F07" w:rsidRDefault="00BA4F07" w:rsidP="00BA4F07">
      <w:pPr>
        <w:jc w:val="both"/>
      </w:pPr>
    </w:p>
    <w:p w:rsidR="00BA4F07" w:rsidRDefault="00BA4F07" w:rsidP="00BA4F07">
      <w:pPr>
        <w:jc w:val="both"/>
      </w:pPr>
      <w:r>
        <w:t xml:space="preserve">Realizacija proračunskih prihodkov in odhodkov je prikazana: </w:t>
      </w:r>
    </w:p>
    <w:p w:rsidR="00BA4F07" w:rsidRDefault="00BA4F07" w:rsidP="00BA4F07">
      <w:pPr>
        <w:numPr>
          <w:ilvl w:val="0"/>
          <w:numId w:val="1"/>
        </w:numPr>
        <w:jc w:val="both"/>
      </w:pPr>
      <w:r>
        <w:t xml:space="preserve">I. v  splošnem delu proračuna in </w:t>
      </w:r>
    </w:p>
    <w:p w:rsidR="00BA4F07" w:rsidRDefault="00BA4F07" w:rsidP="00BA4F07">
      <w:pPr>
        <w:numPr>
          <w:ilvl w:val="0"/>
          <w:numId w:val="1"/>
        </w:numPr>
        <w:jc w:val="both"/>
      </w:pPr>
      <w:r>
        <w:t>II. v  posebnem delu proračuna</w:t>
      </w:r>
    </w:p>
    <w:p w:rsidR="00BA4F07" w:rsidRDefault="00BA4F07" w:rsidP="00BA4F07">
      <w:pPr>
        <w:jc w:val="both"/>
      </w:pPr>
      <w:r>
        <w:t>in sicer ko</w:t>
      </w:r>
      <w:r w:rsidR="00AC7449">
        <w:t>t sprejeti proračun za leto 2015, veljavni proračun za leto 2015</w:t>
      </w:r>
      <w:r>
        <w:t xml:space="preserve">  in  realizacija na</w:t>
      </w:r>
      <w:r w:rsidR="00AC7449">
        <w:t xml:space="preserve"> dan 30.06.2015</w:t>
      </w:r>
      <w:r>
        <w:t xml:space="preserve"> ter indeks  med realizacijo in v</w:t>
      </w:r>
      <w:r w:rsidR="00AC7449">
        <w:t>eljavnim proračunom za leto 2015</w:t>
      </w:r>
      <w:r>
        <w:t>. Kot veljavni proračun je prikazan sprejeti proračun z prerazporeditvami na podlagi 5. člena sprejetega odloka o proračunu  ter sklepov župana. Prerazporedila so se sredstva iz  tekoče proračunske rezervacije na proračunske postavke, ki so realizirane v višjem znesku kot so bile predvidene ter  posamezne prerazporeditve v okviru podprogramov in med konti v posamezni proračunski postavki.</w:t>
      </w:r>
    </w:p>
    <w:p w:rsidR="00BA4F07" w:rsidRDefault="00BA4F07" w:rsidP="00BA4F07">
      <w:pPr>
        <w:jc w:val="both"/>
      </w:pPr>
    </w:p>
    <w:p w:rsidR="00BA4F07" w:rsidRDefault="00BA4F07" w:rsidP="00BA4F07">
      <w:pPr>
        <w:jc w:val="both"/>
      </w:pPr>
    </w:p>
    <w:p w:rsidR="00BA4F07" w:rsidRDefault="00BA4F07" w:rsidP="00BA4F07">
      <w:pPr>
        <w:jc w:val="both"/>
        <w:rPr>
          <w:b/>
        </w:rPr>
      </w:pPr>
      <w:r>
        <w:rPr>
          <w:b/>
        </w:rPr>
        <w:t>1. Poročilo o realizaciji prejemkov in izdatkov, presežku ali primanjkljaju, zadolževanju in oceno realizacije do konca leta</w:t>
      </w:r>
    </w:p>
    <w:p w:rsidR="00BA4F07" w:rsidRDefault="00BA4F07" w:rsidP="00BA4F07">
      <w:pPr>
        <w:jc w:val="both"/>
      </w:pPr>
    </w:p>
    <w:p w:rsidR="00BA4F07" w:rsidRDefault="00BA4F07" w:rsidP="00BA4F07">
      <w:pPr>
        <w:jc w:val="both"/>
      </w:pPr>
      <w:r>
        <w:rPr>
          <w:b/>
        </w:rPr>
        <w:t>Skupni prihodki</w:t>
      </w:r>
      <w:r>
        <w:t xml:space="preserve"> so v tem obdobj</w:t>
      </w:r>
      <w:r w:rsidR="00AB0FF5">
        <w:t>u doseženi v višini 1.114.929</w:t>
      </w:r>
      <w:r>
        <w:t xml:space="preserve"> EUR kar pre</w:t>
      </w:r>
      <w:r w:rsidR="00AB0FF5">
        <w:t>dstavlja 40,9</w:t>
      </w:r>
      <w:r>
        <w:t xml:space="preserve">% celotnih prihodkov, ki so po </w:t>
      </w:r>
      <w:r w:rsidR="00AB0FF5">
        <w:t>sprejetem proračunu za leto 2015</w:t>
      </w:r>
      <w:r>
        <w:t>, ki ga je občinski sve</w:t>
      </w:r>
      <w:r w:rsidR="00AB0FF5">
        <w:t>t sprejel v mesecu marcu 2015</w:t>
      </w:r>
      <w:r>
        <w:t>, bili predvid</w:t>
      </w:r>
      <w:r w:rsidR="00AB0FF5">
        <w:t>eni v skupni višini 2.724.225</w:t>
      </w:r>
      <w:r w:rsidR="00B931C8">
        <w:t xml:space="preserve"> EUR.  Glede na preteklo leto </w:t>
      </w:r>
      <w:r w:rsidR="00B931C8">
        <w:lastRenderedPageBreak/>
        <w:t xml:space="preserve">2014 je procent doseženih prihodkov skoraj enak in sicer je v prvem obdobju leta 2014 znašal 40,4 %. </w:t>
      </w:r>
    </w:p>
    <w:p w:rsidR="00502A5E" w:rsidRDefault="00BA4F07" w:rsidP="00BA4F07">
      <w:pPr>
        <w:jc w:val="both"/>
      </w:pPr>
      <w:r>
        <w:t xml:space="preserve">Davčni prihodki so doseženi v </w:t>
      </w:r>
      <w:r w:rsidR="00502A5E">
        <w:t>višini 628.112 EUR, oziroma 45,4</w:t>
      </w:r>
      <w:r>
        <w:t xml:space="preserve"> %</w:t>
      </w:r>
      <w:r w:rsidR="00502A5E">
        <w:t xml:space="preserve"> predvidenih</w:t>
      </w:r>
      <w:r>
        <w:t xml:space="preserve">, nedavčni </w:t>
      </w:r>
      <w:r w:rsidR="00502A5E">
        <w:t xml:space="preserve">167.454 ali 57,5 % predvidenih nedavčnih prihodkov, </w:t>
      </w:r>
      <w:r>
        <w:t xml:space="preserve"> kapitalski prihodki </w:t>
      </w:r>
      <w:r w:rsidR="00502A5E">
        <w:t xml:space="preserve"> v višini 10.587  96,3 % predvidenih  </w:t>
      </w:r>
      <w:r>
        <w:t xml:space="preserve"> ter t</w:t>
      </w:r>
      <w:r w:rsidR="00502A5E">
        <w:t xml:space="preserve">ransferni prihodki  308.775 EUR, oziroma 29,8 EUR. </w:t>
      </w:r>
    </w:p>
    <w:p w:rsidR="003F147F" w:rsidRDefault="003F147F" w:rsidP="00BA4F07">
      <w:pPr>
        <w:jc w:val="both"/>
      </w:pPr>
    </w:p>
    <w:p w:rsidR="00BA4F07" w:rsidRDefault="00502A5E" w:rsidP="00BA4F07">
      <w:pPr>
        <w:jc w:val="both"/>
      </w:pPr>
      <w:r>
        <w:t xml:space="preserve">Najpomembnejši prihodek občine predstavlja </w:t>
      </w:r>
      <w:r w:rsidR="00BA4F07">
        <w:t xml:space="preserve"> dohodnina, katera je z izračunano primerno porabo občine že določena in razdeljena na tedenske dotacije tako, da je priho</w:t>
      </w:r>
      <w:r w:rsidR="003F147F">
        <w:t>dek iz tega naslova v prvem polletju dosežen v 46</w:t>
      </w:r>
      <w:r w:rsidR="00BA4F07">
        <w:t xml:space="preserve"> %. </w:t>
      </w:r>
    </w:p>
    <w:p w:rsidR="00BA4F07" w:rsidRDefault="00BA4F07" w:rsidP="00BA4F07">
      <w:pPr>
        <w:jc w:val="both"/>
      </w:pPr>
    </w:p>
    <w:p w:rsidR="00BA4F07" w:rsidRDefault="00BA4F07" w:rsidP="00BA4F07">
      <w:pPr>
        <w:jc w:val="both"/>
      </w:pPr>
      <w:r>
        <w:t xml:space="preserve">Pri nedavčnih </w:t>
      </w:r>
      <w:r w:rsidR="00D1719A">
        <w:t>prihodkih smo v tudi v letu 2015</w:t>
      </w:r>
      <w:r>
        <w:t xml:space="preserve"> </w:t>
      </w:r>
      <w:r w:rsidR="00FB4BA7">
        <w:t xml:space="preserve">že </w:t>
      </w:r>
      <w:r>
        <w:t>pridobi</w:t>
      </w:r>
      <w:r w:rsidR="00FB4BA7">
        <w:t xml:space="preserve">li </w:t>
      </w:r>
      <w:r w:rsidR="00D1719A">
        <w:t xml:space="preserve"> prihodek</w:t>
      </w:r>
      <w:r>
        <w:t xml:space="preserve"> iz naslova koncesij</w:t>
      </w:r>
      <w:r w:rsidR="00D1719A">
        <w:t>e</w:t>
      </w:r>
      <w:r>
        <w:t xml:space="preserve">, katerega priliv je bil dne </w:t>
      </w:r>
      <w:r w:rsidR="00D1719A">
        <w:t>30.6.2015 v višini 91.497,85 EUR.</w:t>
      </w:r>
      <w:r>
        <w:t xml:space="preserve"> Gre za koncesijsko dajatev na osnovi 10. a člena Zakona o Skladu kmetijskih zemljišč in gozdov RS (Uradni list RS, št. 8/2010), po katerem mora Sklad občinam, v katerih ležijo gozdovi, ki so v lasti Republike Slovenije in z njimi gospodari Sklad, prenesti 7 odstotkov od letne realizacije za posekan in prodan les po tržni vrednosti na kamionski cesti iz koncesijskih gozdov. Ta sredstva se v občinskem proračunu izkazujejo kot namenski prejemki in porabljajo ko</w:t>
      </w:r>
      <w:r w:rsidR="00D1719A">
        <w:t xml:space="preserve">t namenski izdatki in sicer se morajo na podlagi 23. člena Zakona o ukrepih za odpravo posledic žleda med 30. januarjem in 10. februarjem 2014 v letih 2015 in 2016 nameniti za vzdrževanje gozdnih cest ali za varstvo gozdov, do dve tretjini nakazanih sredstev pa lahko namenijo za vzdrževanje občinskih javnih cest. </w:t>
      </w:r>
    </w:p>
    <w:p w:rsidR="00BA4F07" w:rsidRDefault="00BA4F07" w:rsidP="00BA4F07">
      <w:pPr>
        <w:jc w:val="both"/>
      </w:pPr>
      <w:r>
        <w:t>Kapitalski prihodk</w:t>
      </w:r>
      <w:r w:rsidR="00FB4BA7">
        <w:t>i so realizirani v višini 10.587</w:t>
      </w:r>
      <w:r>
        <w:t>,00 EUR in sicer so</w:t>
      </w:r>
      <w:r w:rsidR="00FB4BA7">
        <w:t xml:space="preserve"> to prihodki iz naslova varščin od prodaje zemljišč v obrtni coni Mali Log. </w:t>
      </w:r>
    </w:p>
    <w:p w:rsidR="001C1B46" w:rsidRDefault="00BA4F07" w:rsidP="00BA4F07">
      <w:pPr>
        <w:jc w:val="both"/>
      </w:pPr>
      <w:r>
        <w:t>Transferni prihodki iz drugih javnofinančnih inst</w:t>
      </w:r>
      <w:r w:rsidR="00FB4BA7">
        <w:t>itucij so doseženi v višini 29,8</w:t>
      </w:r>
      <w:r w:rsidR="001C1B46">
        <w:t xml:space="preserve"> %. Najpomembnejša med temi prihodki sta:</w:t>
      </w:r>
    </w:p>
    <w:p w:rsidR="001C1B46" w:rsidRDefault="00FB4BA7" w:rsidP="001C1B46">
      <w:pPr>
        <w:pStyle w:val="Odstavekseznama"/>
        <w:numPr>
          <w:ilvl w:val="0"/>
          <w:numId w:val="1"/>
        </w:numPr>
        <w:jc w:val="both"/>
      </w:pPr>
      <w:r>
        <w:t xml:space="preserve">finančna izravnava dosežena v višini 143.351 EUR in </w:t>
      </w:r>
    </w:p>
    <w:p w:rsidR="00BA4F07" w:rsidRDefault="00FB4BA7" w:rsidP="001C1B46">
      <w:pPr>
        <w:pStyle w:val="Odstavekseznama"/>
        <w:numPr>
          <w:ilvl w:val="0"/>
          <w:numId w:val="1"/>
        </w:numPr>
        <w:jc w:val="both"/>
      </w:pPr>
      <w:r>
        <w:t xml:space="preserve">prejeta sredstva za investicije iz naslova 23. </w:t>
      </w:r>
      <w:r w:rsidR="001C1B46">
        <w:t>č</w:t>
      </w:r>
      <w:r>
        <w:t xml:space="preserve">lena ZFO-1 še za leto </w:t>
      </w:r>
      <w:r w:rsidR="001C1B46">
        <w:t xml:space="preserve">2014, ki so bila nakazana v januarju </w:t>
      </w:r>
      <w:r>
        <w:t xml:space="preserve"> 2015 v višini 143.975 EUR. </w:t>
      </w:r>
      <w:r w:rsidR="00BA4F07">
        <w:t xml:space="preserve"> </w:t>
      </w:r>
    </w:p>
    <w:p w:rsidR="00BA4F07" w:rsidRDefault="00BA4F07" w:rsidP="00BA4F07">
      <w:pPr>
        <w:jc w:val="both"/>
      </w:pPr>
    </w:p>
    <w:p w:rsidR="00BA4F07" w:rsidRDefault="00BA4F07" w:rsidP="00BA4F07">
      <w:pPr>
        <w:jc w:val="both"/>
      </w:pPr>
      <w:r>
        <w:t>Prikaz doseženih prih</w:t>
      </w:r>
      <w:r w:rsidR="001C1B46">
        <w:t>odkov v prvem polletju leta 2015</w:t>
      </w:r>
      <w:r>
        <w:t xml:space="preserve"> po ekonomski klasifikaciji:</w:t>
      </w:r>
    </w:p>
    <w:p w:rsidR="00BA4F07" w:rsidRDefault="00BA4F07" w:rsidP="00BA4F07">
      <w:pPr>
        <w:jc w:val="both"/>
      </w:pPr>
    </w:p>
    <w:p w:rsidR="007D0BAE" w:rsidRDefault="007D0BAE" w:rsidP="00BA4F07">
      <w:pPr>
        <w:jc w:val="both"/>
      </w:pPr>
    </w:p>
    <w:tbl>
      <w:tblPr>
        <w:tblW w:w="9439" w:type="dxa"/>
        <w:tblInd w:w="55" w:type="dxa"/>
        <w:tblCellMar>
          <w:left w:w="70" w:type="dxa"/>
          <w:right w:w="70" w:type="dxa"/>
        </w:tblCellMar>
        <w:tblLook w:val="04A0" w:firstRow="1" w:lastRow="0" w:firstColumn="1" w:lastColumn="0" w:noHBand="0" w:noVBand="1"/>
      </w:tblPr>
      <w:tblGrid>
        <w:gridCol w:w="8601"/>
        <w:gridCol w:w="6910"/>
        <w:gridCol w:w="1076"/>
        <w:gridCol w:w="870"/>
      </w:tblGrid>
      <w:tr w:rsidR="00BA4F07" w:rsidTr="00AA0FDB">
        <w:trPr>
          <w:trHeight w:val="255"/>
        </w:trPr>
        <w:tc>
          <w:tcPr>
            <w:tcW w:w="583" w:type="dxa"/>
            <w:noWrap/>
            <w:vAlign w:val="bottom"/>
          </w:tcPr>
          <w:tbl>
            <w:tblPr>
              <w:tblW w:w="8400" w:type="dxa"/>
              <w:tblCellMar>
                <w:left w:w="70" w:type="dxa"/>
                <w:right w:w="70" w:type="dxa"/>
              </w:tblCellMar>
              <w:tblLook w:val="04A0" w:firstRow="1" w:lastRow="0" w:firstColumn="1" w:lastColumn="0" w:noHBand="0" w:noVBand="1"/>
            </w:tblPr>
            <w:tblGrid>
              <w:gridCol w:w="900"/>
              <w:gridCol w:w="2945"/>
              <w:gridCol w:w="196"/>
              <w:gridCol w:w="1980"/>
              <w:gridCol w:w="1360"/>
              <w:gridCol w:w="1080"/>
            </w:tblGrid>
            <w:tr w:rsidR="00AA0FDB" w:rsidRPr="00AA0FDB" w:rsidTr="00AA0FDB">
              <w:trPr>
                <w:trHeight w:val="264"/>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5060" w:type="dxa"/>
                  <w:gridSpan w:val="3"/>
                  <w:tcBorders>
                    <w:top w:val="nil"/>
                    <w:left w:val="nil"/>
                    <w:bottom w:val="nil"/>
                    <w:right w:val="nil"/>
                  </w:tcBorders>
                  <w:shd w:val="clear" w:color="auto" w:fill="auto"/>
                  <w:noWrap/>
                  <w:vAlign w:val="bottom"/>
                  <w:hideMark/>
                </w:tcPr>
                <w:p w:rsidR="00AA0FDB" w:rsidRDefault="00AA0FDB" w:rsidP="00AA0FDB">
                  <w:pPr>
                    <w:rPr>
                      <w:rFonts w:ascii="Arial CE" w:hAnsi="Arial CE" w:cs="Arial CE"/>
                      <w:b/>
                      <w:bCs/>
                      <w:sz w:val="20"/>
                      <w:szCs w:val="20"/>
                    </w:rPr>
                  </w:pPr>
                  <w:r w:rsidRPr="00AA0FDB">
                    <w:rPr>
                      <w:rFonts w:ascii="Arial CE" w:hAnsi="Arial CE" w:cs="Arial CE"/>
                      <w:b/>
                      <w:bCs/>
                      <w:sz w:val="20"/>
                      <w:szCs w:val="20"/>
                    </w:rPr>
                    <w:t>PRIHODKI PO</w:t>
                  </w:r>
                  <w:r>
                    <w:rPr>
                      <w:rFonts w:ascii="Arial CE" w:hAnsi="Arial CE" w:cs="Arial CE"/>
                      <w:b/>
                      <w:bCs/>
                      <w:sz w:val="20"/>
                      <w:szCs w:val="20"/>
                    </w:rPr>
                    <w:t xml:space="preserve"> POLLETNEM POROČILU </w:t>
                  </w:r>
                </w:p>
                <w:p w:rsidR="00AA0FDB" w:rsidRPr="00AA0FDB" w:rsidRDefault="00AA0FDB" w:rsidP="00AA0FDB">
                  <w:pPr>
                    <w:rPr>
                      <w:rFonts w:ascii="Arial CE" w:hAnsi="Arial CE" w:cs="Arial CE"/>
                      <w:b/>
                      <w:bCs/>
                      <w:sz w:val="20"/>
                      <w:szCs w:val="20"/>
                    </w:rPr>
                  </w:pPr>
                  <w:r>
                    <w:rPr>
                      <w:rFonts w:ascii="Arial CE" w:hAnsi="Arial CE" w:cs="Arial CE"/>
                      <w:b/>
                      <w:bCs/>
                      <w:sz w:val="20"/>
                      <w:szCs w:val="20"/>
                    </w:rPr>
                    <w:t xml:space="preserve">                  ZA LETO 2015</w:t>
                  </w:r>
                </w:p>
              </w:tc>
              <w:tc>
                <w:tcPr>
                  <w:tcW w:w="1360" w:type="dxa"/>
                  <w:vMerge w:val="restart"/>
                  <w:tcBorders>
                    <w:top w:val="nil"/>
                    <w:left w:val="nil"/>
                    <w:bottom w:val="nil"/>
                    <w:right w:val="nil"/>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r>
            <w:tr w:rsidR="00AA0FDB" w:rsidRPr="00AA0FDB" w:rsidTr="00AA0FDB">
              <w:trPr>
                <w:trHeight w:val="264"/>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2945"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135"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19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1360" w:type="dxa"/>
                  <w:vMerge/>
                  <w:tcBorders>
                    <w:top w:val="nil"/>
                    <w:left w:val="nil"/>
                    <w:bottom w:val="nil"/>
                    <w:right w:val="nil"/>
                  </w:tcBorders>
                  <w:vAlign w:val="center"/>
                  <w:hideMark/>
                </w:tcPr>
                <w:p w:rsidR="00AA0FDB" w:rsidRPr="00AA0FDB" w:rsidRDefault="00AA0FDB" w:rsidP="00AA0FDB">
                  <w:pPr>
                    <w:rPr>
                      <w:rFonts w:ascii="Arial CE" w:hAnsi="Arial CE" w:cs="Arial CE"/>
                      <w:b/>
                      <w:bCs/>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r>
            <w:tr w:rsidR="00AA0FDB" w:rsidRPr="00AA0FDB" w:rsidTr="00AA0FDB">
              <w:trPr>
                <w:trHeight w:val="276"/>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2945"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135"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1980" w:type="dxa"/>
                  <w:tcBorders>
                    <w:top w:val="nil"/>
                    <w:left w:val="nil"/>
                    <w:bottom w:val="nil"/>
                    <w:right w:val="nil"/>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 xml:space="preserve"> </w:t>
                  </w:r>
                </w:p>
              </w:tc>
              <w:tc>
                <w:tcPr>
                  <w:tcW w:w="1360" w:type="dxa"/>
                  <w:tcBorders>
                    <w:top w:val="nil"/>
                    <w:left w:val="nil"/>
                    <w:bottom w:val="nil"/>
                    <w:right w:val="nil"/>
                  </w:tcBorders>
                  <w:shd w:val="clear" w:color="auto" w:fill="auto"/>
                  <w:noWrap/>
                  <w:vAlign w:val="bottom"/>
                  <w:hideMark/>
                </w:tcPr>
                <w:p w:rsidR="00AA0FDB" w:rsidRPr="00AA0FDB" w:rsidRDefault="00AA0FDB" w:rsidP="00AA0FDB">
                  <w:pPr>
                    <w:jc w:val="center"/>
                    <w:rPr>
                      <w:rFonts w:ascii="Arial CE" w:hAnsi="Arial CE" w:cs="Arial CE"/>
                      <w:b/>
                      <w:bCs/>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r>
            <w:tr w:rsidR="00AA0FDB" w:rsidRPr="00AA0FDB" w:rsidTr="00AA0FDB">
              <w:trPr>
                <w:trHeight w:val="264"/>
              </w:trPr>
              <w:tc>
                <w:tcPr>
                  <w:tcW w:w="900" w:type="dxa"/>
                  <w:tcBorders>
                    <w:top w:val="single" w:sz="8" w:space="0" w:color="auto"/>
                    <w:left w:val="single" w:sz="8" w:space="0" w:color="auto"/>
                    <w:bottom w:val="nil"/>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Konto</w:t>
                  </w:r>
                </w:p>
              </w:tc>
              <w:tc>
                <w:tcPr>
                  <w:tcW w:w="2945" w:type="dxa"/>
                  <w:tcBorders>
                    <w:top w:val="single" w:sz="8" w:space="0" w:color="auto"/>
                    <w:left w:val="nil"/>
                    <w:bottom w:val="nil"/>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xml:space="preserve">Vsebina </w:t>
                  </w:r>
                </w:p>
              </w:tc>
              <w:tc>
                <w:tcPr>
                  <w:tcW w:w="135" w:type="dxa"/>
                  <w:tcBorders>
                    <w:top w:val="single" w:sz="8" w:space="0" w:color="auto"/>
                    <w:left w:val="nil"/>
                    <w:bottom w:val="nil"/>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w:t>
                  </w:r>
                </w:p>
              </w:tc>
              <w:tc>
                <w:tcPr>
                  <w:tcW w:w="1980" w:type="dxa"/>
                  <w:tcBorders>
                    <w:top w:val="single" w:sz="8" w:space="0" w:color="auto"/>
                    <w:left w:val="nil"/>
                    <w:bottom w:val="nil"/>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Sprejeti</w:t>
                  </w:r>
                </w:p>
              </w:tc>
              <w:tc>
                <w:tcPr>
                  <w:tcW w:w="1360" w:type="dxa"/>
                  <w:tcBorders>
                    <w:top w:val="single" w:sz="8" w:space="0" w:color="auto"/>
                    <w:left w:val="single" w:sz="4" w:space="0" w:color="auto"/>
                    <w:bottom w:val="nil"/>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xml:space="preserve">Realizacija </w:t>
                  </w:r>
                </w:p>
              </w:tc>
              <w:tc>
                <w:tcPr>
                  <w:tcW w:w="1080" w:type="dxa"/>
                  <w:tcBorders>
                    <w:top w:val="single" w:sz="8" w:space="0" w:color="auto"/>
                    <w:left w:val="nil"/>
                    <w:bottom w:val="nil"/>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b/>
                      <w:bCs/>
                      <w:sz w:val="18"/>
                      <w:szCs w:val="18"/>
                    </w:rPr>
                  </w:pPr>
                  <w:r w:rsidRPr="00AA0FDB">
                    <w:rPr>
                      <w:rFonts w:ascii="Arial CE" w:hAnsi="Arial CE" w:cs="Arial CE"/>
                      <w:b/>
                      <w:bCs/>
                      <w:sz w:val="18"/>
                      <w:szCs w:val="18"/>
                    </w:rPr>
                    <w:t>Indeks</w:t>
                  </w:r>
                </w:p>
              </w:tc>
            </w:tr>
            <w:tr w:rsidR="00AA0FDB" w:rsidRPr="00AA0FDB" w:rsidTr="00AA0FDB">
              <w:trPr>
                <w:trHeight w:val="276"/>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18"/>
                      <w:szCs w:val="18"/>
                    </w:rPr>
                  </w:pPr>
                  <w:r w:rsidRPr="00AA0FDB">
                    <w:rPr>
                      <w:rFonts w:ascii="Arial CE" w:hAnsi="Arial CE" w:cs="Arial CE"/>
                      <w:b/>
                      <w:bCs/>
                      <w:sz w:val="18"/>
                      <w:szCs w:val="18"/>
                    </w:rPr>
                    <w:t> </w:t>
                  </w:r>
                </w:p>
              </w:tc>
              <w:tc>
                <w:tcPr>
                  <w:tcW w:w="2945" w:type="dxa"/>
                  <w:tcBorders>
                    <w:top w:val="nil"/>
                    <w:left w:val="nil"/>
                    <w:bottom w:val="single" w:sz="8" w:space="0" w:color="auto"/>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w:t>
                  </w:r>
                </w:p>
              </w:tc>
              <w:tc>
                <w:tcPr>
                  <w:tcW w:w="135"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w:t>
                  </w:r>
                </w:p>
              </w:tc>
              <w:tc>
                <w:tcPr>
                  <w:tcW w:w="1980" w:type="dxa"/>
                  <w:tcBorders>
                    <w:top w:val="nil"/>
                    <w:left w:val="nil"/>
                    <w:bottom w:val="single" w:sz="8" w:space="0" w:color="auto"/>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proračun 2015</w:t>
                  </w:r>
                </w:p>
              </w:tc>
              <w:tc>
                <w:tcPr>
                  <w:tcW w:w="1360" w:type="dxa"/>
                  <w:tcBorders>
                    <w:top w:val="nil"/>
                    <w:left w:val="single" w:sz="4" w:space="0" w:color="auto"/>
                    <w:bottom w:val="single" w:sz="8"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Pr>
                      <w:rFonts w:ascii="Arial CE" w:hAnsi="Arial CE" w:cs="Arial CE"/>
                      <w:b/>
                      <w:bCs/>
                      <w:sz w:val="18"/>
                      <w:szCs w:val="18"/>
                    </w:rPr>
                    <w:t>30.6.2015</w:t>
                  </w:r>
                </w:p>
              </w:tc>
              <w:tc>
                <w:tcPr>
                  <w:tcW w:w="1080" w:type="dxa"/>
                  <w:tcBorders>
                    <w:top w:val="nil"/>
                    <w:left w:val="nil"/>
                    <w:bottom w:val="single" w:sz="8" w:space="0" w:color="auto"/>
                    <w:right w:val="single" w:sz="8" w:space="0" w:color="auto"/>
                  </w:tcBorders>
                  <w:shd w:val="clear" w:color="auto" w:fill="auto"/>
                  <w:noWrap/>
                  <w:vAlign w:val="bottom"/>
                  <w:hideMark/>
                </w:tcPr>
                <w:p w:rsidR="00AA0FDB" w:rsidRPr="00AA0FDB" w:rsidRDefault="00AA0FDB" w:rsidP="00AA0FDB">
                  <w:pPr>
                    <w:rPr>
                      <w:rFonts w:ascii="Arial CE" w:hAnsi="Arial CE" w:cs="Arial CE"/>
                      <w:b/>
                      <w:bCs/>
                      <w:sz w:val="18"/>
                      <w:szCs w:val="18"/>
                    </w:rPr>
                  </w:pPr>
                  <w:r w:rsidRPr="00AA0FDB">
                    <w:rPr>
                      <w:rFonts w:ascii="Arial CE" w:hAnsi="Arial CE" w:cs="Arial CE"/>
                      <w:b/>
                      <w:bCs/>
                      <w:sz w:val="18"/>
                      <w:szCs w:val="18"/>
                    </w:rPr>
                    <w:t> </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xml:space="preserve">PRIHODKI SKUPAJ </w:t>
                  </w:r>
                </w:p>
              </w:tc>
              <w:tc>
                <w:tcPr>
                  <w:tcW w:w="13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2.724.225</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1.114.928</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40,9</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70</w:t>
                  </w:r>
                </w:p>
              </w:tc>
              <w:tc>
                <w:tcPr>
                  <w:tcW w:w="294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Davčni prihodki </w:t>
                  </w:r>
                </w:p>
              </w:tc>
              <w:tc>
                <w:tcPr>
                  <w:tcW w:w="13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1.385.042</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628.112</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45,3</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71</w:t>
                  </w:r>
                </w:p>
              </w:tc>
              <w:tc>
                <w:tcPr>
                  <w:tcW w:w="294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Nedavčni prihodki </w:t>
                  </w:r>
                </w:p>
              </w:tc>
              <w:tc>
                <w:tcPr>
                  <w:tcW w:w="13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291.270</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167.454</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57,5</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72</w:t>
                  </w:r>
                </w:p>
              </w:tc>
              <w:tc>
                <w:tcPr>
                  <w:tcW w:w="294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Kapitalski prihodki </w:t>
                  </w:r>
                </w:p>
              </w:tc>
              <w:tc>
                <w:tcPr>
                  <w:tcW w:w="135"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11.000</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10.587</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96,2</w:t>
                  </w:r>
                </w:p>
              </w:tc>
            </w:tr>
            <w:tr w:rsidR="00AA0FDB" w:rsidRPr="00AA0FDB" w:rsidTr="00AA0FDB">
              <w:trPr>
                <w:trHeight w:val="276"/>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74</w:t>
                  </w:r>
                </w:p>
              </w:tc>
              <w:tc>
                <w:tcPr>
                  <w:tcW w:w="2945"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Transferni prihodki </w:t>
                  </w:r>
                </w:p>
              </w:tc>
              <w:tc>
                <w:tcPr>
                  <w:tcW w:w="135"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1980"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1.036.913</w:t>
                  </w:r>
                </w:p>
              </w:tc>
              <w:tc>
                <w:tcPr>
                  <w:tcW w:w="1360"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308.775</w:t>
                  </w:r>
                </w:p>
              </w:tc>
              <w:tc>
                <w:tcPr>
                  <w:tcW w:w="1080" w:type="dxa"/>
                  <w:tcBorders>
                    <w:top w:val="nil"/>
                    <w:left w:val="nil"/>
                    <w:bottom w:val="single" w:sz="8"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29,8</w:t>
                  </w:r>
                </w:p>
              </w:tc>
            </w:tr>
          </w:tbl>
          <w:p w:rsidR="00BA4F07" w:rsidRDefault="00BA4F07">
            <w:pPr>
              <w:rPr>
                <w:sz w:val="20"/>
                <w:szCs w:val="20"/>
              </w:rPr>
            </w:pPr>
          </w:p>
        </w:tc>
        <w:tc>
          <w:tcPr>
            <w:tcW w:w="6910" w:type="dxa"/>
            <w:noWrap/>
            <w:vAlign w:val="bottom"/>
          </w:tcPr>
          <w:p w:rsidR="00BA4F07" w:rsidRDefault="00BA4F07">
            <w:pPr>
              <w:rPr>
                <w:sz w:val="20"/>
                <w:szCs w:val="20"/>
              </w:rPr>
            </w:pPr>
          </w:p>
        </w:tc>
        <w:tc>
          <w:tcPr>
            <w:tcW w:w="1076" w:type="dxa"/>
            <w:noWrap/>
            <w:vAlign w:val="bottom"/>
            <w:hideMark/>
          </w:tcPr>
          <w:p w:rsidR="00BA4F07" w:rsidRDefault="00BA4F07">
            <w:pPr>
              <w:rPr>
                <w:sz w:val="20"/>
                <w:szCs w:val="20"/>
              </w:rPr>
            </w:pPr>
          </w:p>
        </w:tc>
        <w:tc>
          <w:tcPr>
            <w:tcW w:w="870" w:type="dxa"/>
            <w:noWrap/>
            <w:vAlign w:val="bottom"/>
            <w:hideMark/>
          </w:tcPr>
          <w:p w:rsidR="00BA4F07" w:rsidRDefault="00BA4F07">
            <w:pPr>
              <w:rPr>
                <w:sz w:val="20"/>
                <w:szCs w:val="20"/>
              </w:rPr>
            </w:pPr>
          </w:p>
        </w:tc>
      </w:tr>
    </w:tbl>
    <w:p w:rsidR="00BA4F07" w:rsidRDefault="00BA4F07" w:rsidP="00BA4F07">
      <w:pPr>
        <w:jc w:val="both"/>
      </w:pPr>
    </w:p>
    <w:p w:rsidR="007D0BAE" w:rsidRDefault="007D0BAE" w:rsidP="00BA4F07">
      <w:pPr>
        <w:jc w:val="both"/>
      </w:pPr>
    </w:p>
    <w:p w:rsidR="00BA4F07" w:rsidRDefault="00BA4F07" w:rsidP="00BA4F07">
      <w:pPr>
        <w:jc w:val="both"/>
      </w:pPr>
      <w:r>
        <w:rPr>
          <w:b/>
        </w:rPr>
        <w:t xml:space="preserve">Skupni odhodki </w:t>
      </w:r>
      <w:r>
        <w:t xml:space="preserve"> ob polletju leto</w:t>
      </w:r>
      <w:r w:rsidR="00AA0FDB">
        <w:t>šnjega leta znašajo 676.967 EUR, kar predstavlja 24,6 % celotnih odhodkov za leto 2015</w:t>
      </w:r>
      <w:r>
        <w:t>, ki so predvid</w:t>
      </w:r>
      <w:r w:rsidR="00AA0FDB">
        <w:t xml:space="preserve">eni v skupni višini 2.755.789 </w:t>
      </w:r>
      <w:r>
        <w:t>EUR. Tekoči odhodki ob p</w:t>
      </w:r>
      <w:r w:rsidR="00AA0FDB">
        <w:t>rvem polletju znašajo 258.271 EUR, kar predstavlja 44,1</w:t>
      </w:r>
      <w:r>
        <w:t xml:space="preserve"> %, tekoči transfe</w:t>
      </w:r>
      <w:r w:rsidR="00AA0FDB">
        <w:t>ri 258.983 EUR, kar je 43,4</w:t>
      </w:r>
      <w:r>
        <w:t xml:space="preserve"> % predvidenih, </w:t>
      </w:r>
      <w:r w:rsidR="00AA0FDB">
        <w:t>investicijski odhodki 159.527, kar predstavlja 10,5 %</w:t>
      </w:r>
      <w:r>
        <w:t xml:space="preserve"> delež ter investicijski transferi v </w:t>
      </w:r>
      <w:r w:rsidR="00AA0FDB">
        <w:t>višini 185 EUR</w:t>
      </w:r>
      <w:r>
        <w:t xml:space="preserve">. </w:t>
      </w:r>
    </w:p>
    <w:p w:rsidR="00BA4F07" w:rsidRDefault="00BA4F07" w:rsidP="00BA4F07">
      <w:pPr>
        <w:jc w:val="both"/>
      </w:pPr>
    </w:p>
    <w:p w:rsidR="00401C07" w:rsidRDefault="00401C07" w:rsidP="00BA4F07">
      <w:pPr>
        <w:jc w:val="both"/>
      </w:pPr>
      <w:r>
        <w:t xml:space="preserve">Tekoči odhodki in tekoči transferi so realizirani po sprejetem proračunu v cca 44 % teh predvidenih odhodkov. </w:t>
      </w:r>
    </w:p>
    <w:p w:rsidR="007D0BAE" w:rsidRDefault="00D71854" w:rsidP="00BA4F07">
      <w:pPr>
        <w:jc w:val="both"/>
      </w:pPr>
      <w:r>
        <w:t xml:space="preserve">Med </w:t>
      </w:r>
      <w:r w:rsidR="00353C0E">
        <w:t xml:space="preserve">investicijskimi </w:t>
      </w:r>
      <w:r>
        <w:t>odhodki v prvi polovici letošnjega leta je potrebno omeniti dokončanje dveh investicij iz lanskega leta in sicer:</w:t>
      </w:r>
    </w:p>
    <w:p w:rsidR="00D71854" w:rsidRDefault="00D71854" w:rsidP="00D71854">
      <w:pPr>
        <w:pStyle w:val="Odstavekseznama"/>
        <w:numPr>
          <w:ilvl w:val="0"/>
          <w:numId w:val="1"/>
        </w:numPr>
        <w:jc w:val="both"/>
      </w:pPr>
      <w:r>
        <w:t xml:space="preserve">izgradnjo večnamenskega objekta v Retjah ter </w:t>
      </w:r>
    </w:p>
    <w:p w:rsidR="00D71854" w:rsidRDefault="00D71854" w:rsidP="00D71854">
      <w:pPr>
        <w:pStyle w:val="Odstavekseznama"/>
        <w:numPr>
          <w:ilvl w:val="0"/>
          <w:numId w:val="1"/>
        </w:numPr>
        <w:jc w:val="both"/>
      </w:pPr>
      <w:r>
        <w:t>rekonstrukcijo in dozidavo Doma starejših občanov</w:t>
      </w:r>
    </w:p>
    <w:p w:rsidR="00C45E7B" w:rsidRDefault="00C45E7B" w:rsidP="00C45E7B">
      <w:pPr>
        <w:jc w:val="both"/>
      </w:pPr>
      <w:r>
        <w:t xml:space="preserve">v višini kot je bila za ti dve investiciji predvidena  po sprejetem proračunu. </w:t>
      </w:r>
    </w:p>
    <w:p w:rsidR="00401C07" w:rsidRDefault="00726BA5" w:rsidP="00C45E7B">
      <w:pPr>
        <w:jc w:val="both"/>
      </w:pPr>
      <w:r>
        <w:t xml:space="preserve">V mesecu maju se je začela investicija Ureditev zbirnega centra v Malem Logu, za katero je prva začasna situacija zapadla v plačilo v mesecu juliju tako, da v prvem polletju stroška za to investicijo </w:t>
      </w:r>
      <w:r w:rsidR="00401C07">
        <w:t xml:space="preserve">še </w:t>
      </w:r>
      <w:r>
        <w:t xml:space="preserve">ni. </w:t>
      </w:r>
    </w:p>
    <w:p w:rsidR="00726BA5" w:rsidRDefault="00401C07" w:rsidP="00C45E7B">
      <w:pPr>
        <w:jc w:val="both"/>
      </w:pPr>
      <w:r>
        <w:t>Potekajo tudi dela v sklopu proračunske postavke 13016 Investicijsko vzdrževanje cest po vaseh.</w:t>
      </w:r>
    </w:p>
    <w:p w:rsidR="00401C07" w:rsidRDefault="0065449B" w:rsidP="00C45E7B">
      <w:pPr>
        <w:jc w:val="both"/>
      </w:pPr>
      <w:r>
        <w:t>V mesecu juniju</w:t>
      </w:r>
      <w:r w:rsidR="00353C0E">
        <w:t xml:space="preserve"> in juliju  se je izvajala </w:t>
      </w:r>
      <w:r w:rsidR="00792237">
        <w:t xml:space="preserve">tudi </w:t>
      </w:r>
      <w:r>
        <w:t xml:space="preserve"> sanacija na </w:t>
      </w:r>
      <w:r w:rsidR="00792237">
        <w:t xml:space="preserve">delu gozdne ceste »Kozjek« in asfaltiranje  problematičnega odseka, katerega strošek proračuna bo v mesecu avgustu.  </w:t>
      </w:r>
      <w:r>
        <w:t xml:space="preserve"> </w:t>
      </w:r>
    </w:p>
    <w:p w:rsidR="007D0BAE" w:rsidRDefault="007D0BAE" w:rsidP="00BA4F07">
      <w:pPr>
        <w:jc w:val="both"/>
      </w:pPr>
    </w:p>
    <w:p w:rsidR="00BA4F07" w:rsidRDefault="00BA4F07" w:rsidP="00BA4F07">
      <w:pPr>
        <w:jc w:val="both"/>
      </w:pPr>
      <w:r>
        <w:t>Prikaz doseženih odh</w:t>
      </w:r>
      <w:r w:rsidR="00AA0FDB">
        <w:t>odkov v prvem polletju leta 2015</w:t>
      </w:r>
      <w:r>
        <w:t xml:space="preserve"> po ekonomski klasifikaciji: </w:t>
      </w:r>
    </w:p>
    <w:p w:rsidR="00AA0FDB" w:rsidRDefault="00AA0FDB" w:rsidP="00BA4F07">
      <w:pPr>
        <w:jc w:val="both"/>
      </w:pPr>
    </w:p>
    <w:tbl>
      <w:tblPr>
        <w:tblW w:w="8400" w:type="dxa"/>
        <w:tblInd w:w="55" w:type="dxa"/>
        <w:tblCellMar>
          <w:left w:w="70" w:type="dxa"/>
          <w:right w:w="70" w:type="dxa"/>
        </w:tblCellMar>
        <w:tblLook w:val="04A0" w:firstRow="1" w:lastRow="0" w:firstColumn="1" w:lastColumn="0" w:noHBand="0" w:noVBand="1"/>
      </w:tblPr>
      <w:tblGrid>
        <w:gridCol w:w="900"/>
        <w:gridCol w:w="2923"/>
        <w:gridCol w:w="196"/>
        <w:gridCol w:w="2001"/>
        <w:gridCol w:w="1360"/>
        <w:gridCol w:w="1080"/>
      </w:tblGrid>
      <w:tr w:rsidR="00AA0FDB" w:rsidRPr="00AA0FDB" w:rsidTr="00AA0FDB">
        <w:trPr>
          <w:trHeight w:val="264"/>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5060" w:type="dxa"/>
            <w:gridSpan w:val="3"/>
            <w:tcBorders>
              <w:top w:val="nil"/>
              <w:left w:val="nil"/>
              <w:bottom w:val="nil"/>
              <w:right w:val="nil"/>
            </w:tcBorders>
            <w:shd w:val="clear" w:color="auto" w:fill="auto"/>
            <w:noWrap/>
            <w:vAlign w:val="bottom"/>
            <w:hideMark/>
          </w:tcPr>
          <w:p w:rsidR="00AA0FDB" w:rsidRDefault="00AA0FDB" w:rsidP="00AA0FDB">
            <w:pPr>
              <w:rPr>
                <w:rFonts w:ascii="Arial CE" w:hAnsi="Arial CE" w:cs="Arial CE"/>
                <w:b/>
                <w:bCs/>
                <w:sz w:val="20"/>
                <w:szCs w:val="20"/>
              </w:rPr>
            </w:pPr>
            <w:r w:rsidRPr="00AA0FDB">
              <w:rPr>
                <w:rFonts w:ascii="Arial CE" w:hAnsi="Arial CE" w:cs="Arial CE"/>
                <w:b/>
                <w:bCs/>
                <w:sz w:val="20"/>
                <w:szCs w:val="20"/>
              </w:rPr>
              <w:t>ODHOD</w:t>
            </w:r>
            <w:r w:rsidR="007D0BAE">
              <w:rPr>
                <w:rFonts w:ascii="Arial CE" w:hAnsi="Arial CE" w:cs="Arial CE"/>
                <w:b/>
                <w:bCs/>
                <w:sz w:val="20"/>
                <w:szCs w:val="20"/>
              </w:rPr>
              <w:t xml:space="preserve">KI PO POLLETNEM POROČILU ZA  </w:t>
            </w:r>
          </w:p>
          <w:p w:rsidR="007D0BAE" w:rsidRPr="00AA0FDB" w:rsidRDefault="007D0BAE" w:rsidP="00AA0FDB">
            <w:pPr>
              <w:rPr>
                <w:rFonts w:ascii="Arial CE" w:hAnsi="Arial CE" w:cs="Arial CE"/>
                <w:b/>
                <w:bCs/>
                <w:sz w:val="20"/>
                <w:szCs w:val="20"/>
              </w:rPr>
            </w:pPr>
            <w:r>
              <w:rPr>
                <w:rFonts w:ascii="Arial CE" w:hAnsi="Arial CE" w:cs="Arial CE"/>
                <w:b/>
                <w:bCs/>
                <w:sz w:val="20"/>
                <w:szCs w:val="20"/>
              </w:rPr>
              <w:t xml:space="preserve">                   ZA LETO 2015</w:t>
            </w:r>
          </w:p>
        </w:tc>
        <w:tc>
          <w:tcPr>
            <w:tcW w:w="1360" w:type="dxa"/>
            <w:vMerge w:val="restart"/>
            <w:tcBorders>
              <w:top w:val="nil"/>
              <w:left w:val="nil"/>
              <w:bottom w:val="nil"/>
              <w:right w:val="nil"/>
            </w:tcBorders>
            <w:shd w:val="clear" w:color="auto" w:fill="auto"/>
            <w:noWrap/>
            <w:vAlign w:val="bottom"/>
            <w:hideMark/>
          </w:tcPr>
          <w:p w:rsidR="00AA0FDB" w:rsidRPr="00AA0FDB" w:rsidRDefault="00AA0FDB" w:rsidP="00AA0FDB">
            <w:pPr>
              <w:jc w:val="right"/>
              <w:rPr>
                <w:rFonts w:ascii="Arial CE" w:hAnsi="Arial CE" w:cs="Arial CE"/>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r>
      <w:tr w:rsidR="00AA0FDB" w:rsidRPr="00AA0FDB" w:rsidTr="00AA0FDB">
        <w:trPr>
          <w:trHeight w:val="264"/>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2923"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136"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p>
        </w:tc>
        <w:tc>
          <w:tcPr>
            <w:tcW w:w="2001"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1360" w:type="dxa"/>
            <w:vMerge/>
            <w:tcBorders>
              <w:top w:val="nil"/>
              <w:left w:val="nil"/>
              <w:bottom w:val="nil"/>
              <w:right w:val="nil"/>
            </w:tcBorders>
            <w:vAlign w:val="center"/>
            <w:hideMark/>
          </w:tcPr>
          <w:p w:rsidR="00AA0FDB" w:rsidRPr="00AA0FDB" w:rsidRDefault="00AA0FDB" w:rsidP="00AA0FDB">
            <w:pPr>
              <w:rPr>
                <w:rFonts w:ascii="Arial CE" w:hAnsi="Arial CE" w:cs="Arial CE"/>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r>
      <w:tr w:rsidR="00AA0FDB" w:rsidRPr="00AA0FDB" w:rsidTr="00AA0FDB">
        <w:trPr>
          <w:trHeight w:val="276"/>
        </w:trPr>
        <w:tc>
          <w:tcPr>
            <w:tcW w:w="90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2923"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136"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c>
          <w:tcPr>
            <w:tcW w:w="2001" w:type="dxa"/>
            <w:tcBorders>
              <w:top w:val="nil"/>
              <w:left w:val="nil"/>
              <w:bottom w:val="nil"/>
              <w:right w:val="nil"/>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 xml:space="preserve"> </w:t>
            </w:r>
          </w:p>
        </w:tc>
        <w:tc>
          <w:tcPr>
            <w:tcW w:w="1360" w:type="dxa"/>
            <w:tcBorders>
              <w:top w:val="nil"/>
              <w:left w:val="nil"/>
              <w:bottom w:val="nil"/>
              <w:right w:val="nil"/>
            </w:tcBorders>
            <w:shd w:val="clear" w:color="auto" w:fill="auto"/>
            <w:noWrap/>
            <w:vAlign w:val="bottom"/>
            <w:hideMark/>
          </w:tcPr>
          <w:p w:rsidR="00AA0FDB" w:rsidRPr="00AA0FDB" w:rsidRDefault="00AA0FDB" w:rsidP="00AA0FDB">
            <w:pPr>
              <w:jc w:val="center"/>
              <w:rPr>
                <w:rFonts w:ascii="Arial CE" w:hAnsi="Arial CE" w:cs="Arial CE"/>
                <w:sz w:val="20"/>
                <w:szCs w:val="20"/>
              </w:rPr>
            </w:pPr>
          </w:p>
        </w:tc>
        <w:tc>
          <w:tcPr>
            <w:tcW w:w="1080" w:type="dxa"/>
            <w:tcBorders>
              <w:top w:val="nil"/>
              <w:left w:val="nil"/>
              <w:bottom w:val="nil"/>
              <w:right w:val="nil"/>
            </w:tcBorders>
            <w:shd w:val="clear" w:color="auto" w:fill="auto"/>
            <w:noWrap/>
            <w:vAlign w:val="bottom"/>
            <w:hideMark/>
          </w:tcPr>
          <w:p w:rsidR="00AA0FDB" w:rsidRPr="00AA0FDB" w:rsidRDefault="00AA0FDB" w:rsidP="00AA0FDB">
            <w:pPr>
              <w:rPr>
                <w:rFonts w:ascii="Arial CE" w:hAnsi="Arial CE" w:cs="Arial CE"/>
                <w:sz w:val="20"/>
                <w:szCs w:val="20"/>
              </w:rPr>
            </w:pPr>
          </w:p>
        </w:tc>
      </w:tr>
      <w:tr w:rsidR="00AA0FDB" w:rsidRPr="00AA0FDB" w:rsidTr="00AA0FDB">
        <w:trPr>
          <w:trHeight w:val="264"/>
        </w:trPr>
        <w:tc>
          <w:tcPr>
            <w:tcW w:w="900" w:type="dxa"/>
            <w:tcBorders>
              <w:top w:val="single" w:sz="8" w:space="0" w:color="auto"/>
              <w:left w:val="single" w:sz="8" w:space="0" w:color="auto"/>
              <w:bottom w:val="nil"/>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20"/>
                <w:szCs w:val="20"/>
              </w:rPr>
            </w:pPr>
            <w:r w:rsidRPr="00AA0FDB">
              <w:rPr>
                <w:rFonts w:ascii="Arial CE" w:hAnsi="Arial CE" w:cs="Arial CE"/>
                <w:b/>
                <w:bCs/>
                <w:sz w:val="20"/>
                <w:szCs w:val="20"/>
              </w:rPr>
              <w:t>Konto</w:t>
            </w:r>
          </w:p>
        </w:tc>
        <w:tc>
          <w:tcPr>
            <w:tcW w:w="2923" w:type="dxa"/>
            <w:tcBorders>
              <w:top w:val="single" w:sz="8" w:space="0" w:color="auto"/>
              <w:left w:val="nil"/>
              <w:bottom w:val="nil"/>
              <w:right w:val="nil"/>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xml:space="preserve">Vsebina </w:t>
            </w:r>
          </w:p>
        </w:tc>
        <w:tc>
          <w:tcPr>
            <w:tcW w:w="136" w:type="dxa"/>
            <w:tcBorders>
              <w:top w:val="single" w:sz="8" w:space="0" w:color="auto"/>
              <w:left w:val="nil"/>
              <w:bottom w:val="nil"/>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w:t>
            </w:r>
          </w:p>
        </w:tc>
        <w:tc>
          <w:tcPr>
            <w:tcW w:w="2001" w:type="dxa"/>
            <w:tcBorders>
              <w:top w:val="single" w:sz="8" w:space="0" w:color="auto"/>
              <w:left w:val="nil"/>
              <w:bottom w:val="nil"/>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xml:space="preserve">Veljavni </w:t>
            </w:r>
          </w:p>
        </w:tc>
        <w:tc>
          <w:tcPr>
            <w:tcW w:w="1360" w:type="dxa"/>
            <w:tcBorders>
              <w:top w:val="single" w:sz="8" w:space="0" w:color="auto"/>
              <w:left w:val="single" w:sz="4" w:space="0" w:color="auto"/>
              <w:bottom w:val="nil"/>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 xml:space="preserve">Realizacija </w:t>
            </w:r>
          </w:p>
        </w:tc>
        <w:tc>
          <w:tcPr>
            <w:tcW w:w="1080" w:type="dxa"/>
            <w:tcBorders>
              <w:top w:val="single" w:sz="8" w:space="0" w:color="auto"/>
              <w:left w:val="nil"/>
              <w:bottom w:val="nil"/>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b/>
                <w:bCs/>
                <w:sz w:val="18"/>
                <w:szCs w:val="18"/>
              </w:rPr>
            </w:pPr>
            <w:r w:rsidRPr="00AA0FDB">
              <w:rPr>
                <w:rFonts w:ascii="Arial CE" w:hAnsi="Arial CE" w:cs="Arial CE"/>
                <w:b/>
                <w:bCs/>
                <w:sz w:val="18"/>
                <w:szCs w:val="18"/>
              </w:rPr>
              <w:t>Indeks</w:t>
            </w:r>
          </w:p>
        </w:tc>
      </w:tr>
      <w:tr w:rsidR="00AA0FDB" w:rsidRPr="00AA0FDB" w:rsidTr="00AA0FDB">
        <w:trPr>
          <w:trHeight w:val="276"/>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923" w:type="dxa"/>
            <w:tcBorders>
              <w:top w:val="nil"/>
              <w:left w:val="nil"/>
              <w:bottom w:val="single" w:sz="8" w:space="0" w:color="auto"/>
              <w:right w:val="nil"/>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136"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001" w:type="dxa"/>
            <w:tcBorders>
              <w:top w:val="nil"/>
              <w:left w:val="nil"/>
              <w:bottom w:val="single" w:sz="8" w:space="0" w:color="auto"/>
              <w:right w:val="nil"/>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proračun 2015</w:t>
            </w:r>
          </w:p>
        </w:tc>
        <w:tc>
          <w:tcPr>
            <w:tcW w:w="1360" w:type="dxa"/>
            <w:tcBorders>
              <w:top w:val="nil"/>
              <w:left w:val="single" w:sz="4" w:space="0" w:color="auto"/>
              <w:bottom w:val="single" w:sz="8"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b/>
                <w:bCs/>
                <w:sz w:val="18"/>
                <w:szCs w:val="18"/>
              </w:rPr>
            </w:pPr>
            <w:r w:rsidRPr="00AA0FDB">
              <w:rPr>
                <w:rFonts w:ascii="Arial CE" w:hAnsi="Arial CE" w:cs="Arial CE"/>
                <w:b/>
                <w:bCs/>
                <w:sz w:val="18"/>
                <w:szCs w:val="18"/>
              </w:rPr>
              <w:t>30.6.2015</w:t>
            </w:r>
          </w:p>
        </w:tc>
        <w:tc>
          <w:tcPr>
            <w:tcW w:w="1080" w:type="dxa"/>
            <w:tcBorders>
              <w:top w:val="nil"/>
              <w:left w:val="nil"/>
              <w:bottom w:val="single" w:sz="8" w:space="0" w:color="auto"/>
              <w:right w:val="single" w:sz="8" w:space="0" w:color="auto"/>
            </w:tcBorders>
            <w:shd w:val="clear" w:color="auto" w:fill="auto"/>
            <w:noWrap/>
            <w:vAlign w:val="bottom"/>
            <w:hideMark/>
          </w:tcPr>
          <w:p w:rsidR="00AA0FDB" w:rsidRPr="00AA0FDB" w:rsidRDefault="00AA0FDB" w:rsidP="00AA0FDB">
            <w:pPr>
              <w:rPr>
                <w:rFonts w:ascii="Arial CE" w:hAnsi="Arial CE" w:cs="Arial CE"/>
                <w:b/>
                <w:bCs/>
                <w:sz w:val="18"/>
                <w:szCs w:val="18"/>
              </w:rPr>
            </w:pPr>
            <w:r w:rsidRPr="00AA0FDB">
              <w:rPr>
                <w:rFonts w:ascii="Arial CE" w:hAnsi="Arial CE" w:cs="Arial CE"/>
                <w:b/>
                <w:bCs/>
                <w:sz w:val="18"/>
                <w:szCs w:val="18"/>
              </w:rPr>
              <w:t> </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923"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xml:space="preserve">ODHODKI SKUPAJ </w:t>
            </w:r>
          </w:p>
        </w:tc>
        <w:tc>
          <w:tcPr>
            <w:tcW w:w="136"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b/>
                <w:bCs/>
                <w:sz w:val="20"/>
                <w:szCs w:val="20"/>
              </w:rPr>
            </w:pPr>
            <w:r w:rsidRPr="00AA0FDB">
              <w:rPr>
                <w:rFonts w:ascii="Arial CE" w:hAnsi="Arial CE" w:cs="Arial CE"/>
                <w:b/>
                <w:bCs/>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2.755.789</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676.966</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b/>
                <w:bCs/>
                <w:sz w:val="20"/>
                <w:szCs w:val="20"/>
              </w:rPr>
            </w:pPr>
            <w:r w:rsidRPr="00AA0FDB">
              <w:rPr>
                <w:rFonts w:ascii="Arial CE" w:hAnsi="Arial CE" w:cs="Arial CE"/>
                <w:b/>
                <w:bCs/>
                <w:sz w:val="20"/>
                <w:szCs w:val="20"/>
              </w:rPr>
              <w:t>24,6</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40</w:t>
            </w:r>
          </w:p>
        </w:tc>
        <w:tc>
          <w:tcPr>
            <w:tcW w:w="2923"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Tekoči odhodki </w:t>
            </w:r>
          </w:p>
        </w:tc>
        <w:tc>
          <w:tcPr>
            <w:tcW w:w="136"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585.796</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258.271</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44,1</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41</w:t>
            </w:r>
          </w:p>
        </w:tc>
        <w:tc>
          <w:tcPr>
            <w:tcW w:w="2923"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Tekoči transferi </w:t>
            </w:r>
          </w:p>
        </w:tc>
        <w:tc>
          <w:tcPr>
            <w:tcW w:w="136"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597.146</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258.983</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43,4</w:t>
            </w:r>
          </w:p>
        </w:tc>
      </w:tr>
      <w:tr w:rsidR="00AA0FDB" w:rsidRPr="00AA0FDB" w:rsidTr="00AA0FDB">
        <w:trPr>
          <w:trHeight w:val="264"/>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42</w:t>
            </w:r>
          </w:p>
        </w:tc>
        <w:tc>
          <w:tcPr>
            <w:tcW w:w="2923"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Investicijski odhodki </w:t>
            </w:r>
          </w:p>
        </w:tc>
        <w:tc>
          <w:tcPr>
            <w:tcW w:w="136"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1.521.962</w:t>
            </w:r>
          </w:p>
        </w:tc>
        <w:tc>
          <w:tcPr>
            <w:tcW w:w="1360" w:type="dxa"/>
            <w:tcBorders>
              <w:top w:val="nil"/>
              <w:left w:val="nil"/>
              <w:bottom w:val="single" w:sz="4"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159.527</w:t>
            </w:r>
          </w:p>
        </w:tc>
        <w:tc>
          <w:tcPr>
            <w:tcW w:w="1080" w:type="dxa"/>
            <w:tcBorders>
              <w:top w:val="nil"/>
              <w:left w:val="nil"/>
              <w:bottom w:val="single" w:sz="4"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10,5</w:t>
            </w:r>
          </w:p>
        </w:tc>
      </w:tr>
      <w:tr w:rsidR="00AA0FDB" w:rsidRPr="00AA0FDB" w:rsidTr="00AA0FDB">
        <w:trPr>
          <w:trHeight w:val="276"/>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AA0FDB" w:rsidRPr="00AA0FDB" w:rsidRDefault="00AA0FDB" w:rsidP="00AA0FDB">
            <w:pPr>
              <w:jc w:val="center"/>
              <w:rPr>
                <w:rFonts w:ascii="Arial CE" w:hAnsi="Arial CE" w:cs="Arial CE"/>
                <w:sz w:val="20"/>
                <w:szCs w:val="20"/>
              </w:rPr>
            </w:pPr>
            <w:r w:rsidRPr="00AA0FDB">
              <w:rPr>
                <w:rFonts w:ascii="Arial CE" w:hAnsi="Arial CE" w:cs="Arial CE"/>
                <w:sz w:val="20"/>
                <w:szCs w:val="20"/>
              </w:rPr>
              <w:t>43</w:t>
            </w:r>
          </w:p>
        </w:tc>
        <w:tc>
          <w:tcPr>
            <w:tcW w:w="2923"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xml:space="preserve">Investicijski transferi </w:t>
            </w:r>
          </w:p>
        </w:tc>
        <w:tc>
          <w:tcPr>
            <w:tcW w:w="136"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rPr>
                <w:rFonts w:ascii="Arial CE" w:hAnsi="Arial CE" w:cs="Arial CE"/>
                <w:sz w:val="20"/>
                <w:szCs w:val="20"/>
              </w:rPr>
            </w:pPr>
            <w:r w:rsidRPr="00AA0FDB">
              <w:rPr>
                <w:rFonts w:ascii="Arial CE" w:hAnsi="Arial CE" w:cs="Arial CE"/>
                <w:sz w:val="20"/>
                <w:szCs w:val="20"/>
              </w:rPr>
              <w:t> </w:t>
            </w:r>
          </w:p>
        </w:tc>
        <w:tc>
          <w:tcPr>
            <w:tcW w:w="2001"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50.885</w:t>
            </w:r>
          </w:p>
        </w:tc>
        <w:tc>
          <w:tcPr>
            <w:tcW w:w="1360" w:type="dxa"/>
            <w:tcBorders>
              <w:top w:val="nil"/>
              <w:left w:val="nil"/>
              <w:bottom w:val="single" w:sz="8" w:space="0" w:color="auto"/>
              <w:right w:val="single" w:sz="4"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185</w:t>
            </w:r>
          </w:p>
        </w:tc>
        <w:tc>
          <w:tcPr>
            <w:tcW w:w="1080" w:type="dxa"/>
            <w:tcBorders>
              <w:top w:val="nil"/>
              <w:left w:val="nil"/>
              <w:bottom w:val="single" w:sz="8" w:space="0" w:color="auto"/>
              <w:right w:val="single" w:sz="8" w:space="0" w:color="auto"/>
            </w:tcBorders>
            <w:shd w:val="clear" w:color="auto" w:fill="auto"/>
            <w:noWrap/>
            <w:vAlign w:val="bottom"/>
            <w:hideMark/>
          </w:tcPr>
          <w:p w:rsidR="00AA0FDB" w:rsidRPr="00AA0FDB" w:rsidRDefault="00AA0FDB" w:rsidP="00AA0FDB">
            <w:pPr>
              <w:jc w:val="right"/>
              <w:rPr>
                <w:rFonts w:ascii="Arial CE" w:hAnsi="Arial CE" w:cs="Arial CE"/>
                <w:sz w:val="20"/>
                <w:szCs w:val="20"/>
              </w:rPr>
            </w:pPr>
            <w:r w:rsidRPr="00AA0FDB">
              <w:rPr>
                <w:rFonts w:ascii="Arial CE" w:hAnsi="Arial CE" w:cs="Arial CE"/>
                <w:sz w:val="20"/>
                <w:szCs w:val="20"/>
              </w:rPr>
              <w:t>0,4</w:t>
            </w:r>
          </w:p>
        </w:tc>
      </w:tr>
    </w:tbl>
    <w:p w:rsidR="00AA0FDB" w:rsidRDefault="00AA0FDB" w:rsidP="00BA4F07">
      <w:pPr>
        <w:jc w:val="both"/>
      </w:pPr>
    </w:p>
    <w:p w:rsidR="00BA4F07" w:rsidRDefault="00BA4F07" w:rsidP="00BA4F07">
      <w:pPr>
        <w:jc w:val="both"/>
      </w:pPr>
    </w:p>
    <w:p w:rsidR="004E7239" w:rsidRDefault="004E7239" w:rsidP="00BA4F07">
      <w:pPr>
        <w:jc w:val="both"/>
      </w:pPr>
      <w:r>
        <w:t xml:space="preserve">Skupni doseženi prihodki presegajo dosežene odhodke, kar predstavlja tekoči proračunski presežek v višini 437.962 EUR. </w:t>
      </w:r>
    </w:p>
    <w:p w:rsidR="004E7239" w:rsidRDefault="004E7239" w:rsidP="00BA4F07">
      <w:pPr>
        <w:jc w:val="both"/>
      </w:pPr>
    </w:p>
    <w:p w:rsidR="004E7239" w:rsidRDefault="004E7239" w:rsidP="00BA4F07">
      <w:pPr>
        <w:jc w:val="both"/>
      </w:pPr>
      <w:r>
        <w:t xml:space="preserve">Iz računa financiranja je razvidno odplačilo dolga v tem obdobju v višini 25.000 EUR iz naslova dolgoročnega kredita, ki smo ga v višini 300.000 EUR najeli v letu 2014. </w:t>
      </w:r>
    </w:p>
    <w:p w:rsidR="00BA4F07" w:rsidRDefault="00BA4F07" w:rsidP="00BA4F07">
      <w:pPr>
        <w:jc w:val="both"/>
      </w:pPr>
      <w:r>
        <w:t xml:space="preserve"> </w:t>
      </w:r>
    </w:p>
    <w:p w:rsidR="00BA4F07" w:rsidRDefault="00BA4F07" w:rsidP="00BA4F07">
      <w:pPr>
        <w:jc w:val="both"/>
      </w:pPr>
      <w:r>
        <w:t>Sprememba stanja sr</w:t>
      </w:r>
      <w:r w:rsidR="004E7239">
        <w:t>edstev na ra</w:t>
      </w:r>
      <w:r w:rsidR="001515FB">
        <w:t xml:space="preserve">čunu znaša </w:t>
      </w:r>
      <w:r w:rsidR="004E7239">
        <w:t xml:space="preserve"> 412.962</w:t>
      </w:r>
      <w:r>
        <w:t xml:space="preserve"> EUR,</w:t>
      </w:r>
      <w:r w:rsidR="004E7239">
        <w:t xml:space="preserve"> kar skupaj s sredstvi, ki so ostala na računu na dan 31.12.2014 v višini 94.201 EUR, znaša skupaj </w:t>
      </w:r>
      <w:r w:rsidR="001515FB">
        <w:t xml:space="preserve"> 507.163 EUR.</w:t>
      </w:r>
    </w:p>
    <w:p w:rsidR="00BA4F07" w:rsidRDefault="00BA4F07" w:rsidP="00BA4F07">
      <w:pPr>
        <w:jc w:val="both"/>
      </w:pPr>
    </w:p>
    <w:p w:rsidR="00A30504" w:rsidRDefault="00BA4F07" w:rsidP="00BA4F07">
      <w:pPr>
        <w:jc w:val="both"/>
      </w:pPr>
      <w:r w:rsidRPr="009D15A1">
        <w:t>Ocena realizacije proračunskih prejemkov in izdatkov za letošnje leto je razvidna iz</w:t>
      </w:r>
      <w:r>
        <w:t xml:space="preserve"> sp</w:t>
      </w:r>
      <w:r w:rsidR="009D15A1">
        <w:t>rejetega  proračuna za leto 2015.</w:t>
      </w:r>
    </w:p>
    <w:p w:rsidR="00353C0E" w:rsidRDefault="00F746B8" w:rsidP="00BA4F07">
      <w:pPr>
        <w:jc w:val="both"/>
      </w:pPr>
      <w:r>
        <w:t>Med predvidenimi prihodki naj bi bili do konca leta višji kapitalski prihodki od prodaje kmetijskih  in stavbnih zemljišč, tr</w:t>
      </w:r>
      <w:r w:rsidR="00A30504">
        <w:t xml:space="preserve">ansferni zlasti prejeta sredstva iz državnega proračuna iz sredstev proračuna Evropske unije pa nižji, saj imamo v proračunu predvidena </w:t>
      </w:r>
      <w:r w:rsidR="00C54A07">
        <w:t xml:space="preserve">sredstva </w:t>
      </w:r>
      <w:r w:rsidR="00A30504">
        <w:t>za</w:t>
      </w:r>
      <w:r w:rsidR="00D71854">
        <w:t xml:space="preserve"> začetek izgradnje kanalizac</w:t>
      </w:r>
      <w:r w:rsidR="00C54A07">
        <w:t>ijskega sistema s ČN v Travniku v višini 400.000 EU sredstev.  G</w:t>
      </w:r>
      <w:r w:rsidR="00D71854">
        <w:t>lede na to, da razpisa za evropska sredstva do sedaj še ni, tu</w:t>
      </w:r>
      <w:r w:rsidR="00C54A07">
        <w:t xml:space="preserve">di ni nobenih možnosti, da bi bila  sredstva pridobljena še letos in da bi se  ta projekt začel </w:t>
      </w:r>
      <w:r w:rsidR="00D71854">
        <w:t xml:space="preserve"> izvajati že v letošnjem letu. </w:t>
      </w:r>
    </w:p>
    <w:p w:rsidR="00C54A07" w:rsidRDefault="00C54A07" w:rsidP="00BA4F07">
      <w:pPr>
        <w:jc w:val="both"/>
      </w:pPr>
      <w:r>
        <w:t>Za uskladitev</w:t>
      </w:r>
      <w:r w:rsidR="004372EB">
        <w:t xml:space="preserve"> prihodkov in odhodkov v letošnjem letu,  bo tako kot vsako proračunsko leto potrebno sprejeti  rebalans proračuna.</w:t>
      </w:r>
    </w:p>
    <w:p w:rsidR="00BA4F07" w:rsidRDefault="00BA4F07" w:rsidP="00BA4F07">
      <w:pPr>
        <w:jc w:val="both"/>
        <w:rPr>
          <w:b/>
        </w:rPr>
      </w:pPr>
      <w:r>
        <w:rPr>
          <w:b/>
        </w:rPr>
        <w:lastRenderedPageBreak/>
        <w:t xml:space="preserve">2. Podatki o vključitvi novih obveznosti v proračun, prenosu namenskih sredstev iz proračuna preteklega leta, plačilu neporavnanih obveznosti iz preteklih let, prerazporejanju proračunskih sredstev. </w:t>
      </w:r>
    </w:p>
    <w:p w:rsidR="00BA4F07" w:rsidRDefault="00BA4F07" w:rsidP="00BA4F07">
      <w:pPr>
        <w:jc w:val="both"/>
        <w:rPr>
          <w:b/>
        </w:rPr>
      </w:pPr>
    </w:p>
    <w:p w:rsidR="00BA4F07" w:rsidRDefault="00BA4F07" w:rsidP="00BA4F07">
      <w:pPr>
        <w:jc w:val="both"/>
      </w:pPr>
      <w:r>
        <w:t>Nove obvezno</w:t>
      </w:r>
      <w:r w:rsidR="004372EB">
        <w:t>sti bodo v proračun za leto 2015</w:t>
      </w:r>
      <w:r>
        <w:t xml:space="preserve"> vključene z rebalansom proračuna za to leto. </w:t>
      </w:r>
    </w:p>
    <w:p w:rsidR="00BA4F07" w:rsidRDefault="00BA4F07" w:rsidP="00BA4F07">
      <w:pPr>
        <w:jc w:val="both"/>
      </w:pPr>
    </w:p>
    <w:p w:rsidR="00BA4F07" w:rsidRDefault="00BA4F07" w:rsidP="00BA4F07">
      <w:pPr>
        <w:jc w:val="both"/>
      </w:pPr>
      <w:r>
        <w:t>Kot nam</w:t>
      </w:r>
      <w:r w:rsidR="004372EB">
        <w:t>enska sredstva iz proračuna 2014 so se v proračun 2015</w:t>
      </w:r>
      <w:r>
        <w:t xml:space="preserve"> prenesla naslednja neporabljena sredstva: </w:t>
      </w:r>
    </w:p>
    <w:p w:rsidR="00BA4F07" w:rsidRDefault="00BA4F07" w:rsidP="00BA4F07">
      <w:pPr>
        <w:jc w:val="both"/>
      </w:pPr>
      <w:r>
        <w:t xml:space="preserve">-  sredstva okoljske dajatve za onesnaževanje okolja zaradi odlaganja odpadkov v </w:t>
      </w:r>
      <w:r w:rsidR="004372EB">
        <w:t>višini 3.594,26 EUR,</w:t>
      </w:r>
    </w:p>
    <w:p w:rsidR="004372EB" w:rsidRDefault="004372EB" w:rsidP="00BA4F07">
      <w:pPr>
        <w:jc w:val="both"/>
      </w:pPr>
      <w:r>
        <w:t>-  prihodki od najemnin-kom. Infrastruktura Komunala Ribnica 5.585,88 EUR,</w:t>
      </w:r>
    </w:p>
    <w:p w:rsidR="00BA4F07" w:rsidRDefault="00BA4F07" w:rsidP="00BA4F07">
      <w:pPr>
        <w:jc w:val="both"/>
      </w:pPr>
      <w:r>
        <w:t>-  sredstva podeljenih konc</w:t>
      </w:r>
      <w:r w:rsidR="004372EB">
        <w:t>esij – lovstvo v višini 2.611,68</w:t>
      </w:r>
      <w:r>
        <w:t xml:space="preserve"> EUR, </w:t>
      </w:r>
    </w:p>
    <w:p w:rsidR="00BA4F07" w:rsidRDefault="00BA4F07" w:rsidP="00BA4F07">
      <w:pPr>
        <w:jc w:val="both"/>
      </w:pPr>
      <w:r>
        <w:t>-  sredstva iz naslova p</w:t>
      </w:r>
      <w:r w:rsidR="004372EB">
        <w:t>odeljenih koncesij SKZG 32.</w:t>
      </w:r>
      <w:r w:rsidR="006F74FC">
        <w:t>252,25</w:t>
      </w:r>
      <w:r>
        <w:t xml:space="preserve"> EUR, </w:t>
      </w:r>
    </w:p>
    <w:p w:rsidR="00BA4F07" w:rsidRDefault="00BA4F07" w:rsidP="00BA4F07">
      <w:pPr>
        <w:jc w:val="both"/>
      </w:pPr>
      <w:r>
        <w:t>-</w:t>
      </w:r>
      <w:r w:rsidR="006F74FC">
        <w:t xml:space="preserve">  kapitalski prihodki (prodaja premoženja) 1.383,96 EUR,</w:t>
      </w:r>
    </w:p>
    <w:p w:rsidR="006F74FC" w:rsidRDefault="006F74FC" w:rsidP="00BA4F07">
      <w:pPr>
        <w:jc w:val="both"/>
      </w:pPr>
      <w:r>
        <w:t>Ostala namenska sredstva:</w:t>
      </w:r>
    </w:p>
    <w:p w:rsidR="00BA4F07" w:rsidRDefault="00BA4F07" w:rsidP="00BA4F07">
      <w:pPr>
        <w:jc w:val="both"/>
      </w:pPr>
      <w:r>
        <w:t>-  proraču</w:t>
      </w:r>
      <w:r w:rsidR="006F74FC">
        <w:t>nska rezerva v višini  14.876,68</w:t>
      </w:r>
      <w:r>
        <w:t xml:space="preserve"> EUR, ki je namenjena za odpravo posledic naravnih </w:t>
      </w:r>
      <w:r w:rsidR="006F74FC">
        <w:t xml:space="preserve">   </w:t>
      </w:r>
    </w:p>
    <w:p w:rsidR="00BA4F07" w:rsidRDefault="006F74FC" w:rsidP="00BA4F07">
      <w:pPr>
        <w:jc w:val="both"/>
      </w:pPr>
      <w:r>
        <w:t xml:space="preserve">   in drugih nesreč v občini, </w:t>
      </w:r>
    </w:p>
    <w:p w:rsidR="006F74FC" w:rsidRDefault="00E56B9D" w:rsidP="00E56B9D">
      <w:pPr>
        <w:jc w:val="both"/>
      </w:pPr>
      <w:r>
        <w:t xml:space="preserve">- </w:t>
      </w:r>
      <w:r w:rsidR="006F74FC">
        <w:t xml:space="preserve">sredstva od </w:t>
      </w:r>
      <w:proofErr w:type="spellStart"/>
      <w:r w:rsidR="006F74FC">
        <w:t>vnovčenja</w:t>
      </w:r>
      <w:proofErr w:type="spellEnd"/>
      <w:r w:rsidR="006F74FC">
        <w:t xml:space="preserve"> bančne garancije Primorje d.d. (KTC Hrib 14) 57.300,00 EUR.</w:t>
      </w:r>
    </w:p>
    <w:p w:rsidR="00BA4F07" w:rsidRDefault="00BA4F07" w:rsidP="00BA4F07">
      <w:pPr>
        <w:jc w:val="both"/>
      </w:pPr>
    </w:p>
    <w:p w:rsidR="00BA4F07" w:rsidRDefault="00BA4F07" w:rsidP="00BA4F07">
      <w:pPr>
        <w:jc w:val="both"/>
      </w:pPr>
      <w:r>
        <w:t>Plačila neporavnanih obveznosti  iz pretekleg</w:t>
      </w:r>
      <w:r w:rsidR="006F74FC">
        <w:t>a leta predstavljajo v letu 2014</w:t>
      </w:r>
      <w:r>
        <w:t xml:space="preserve"> opravljene storitve, ki so bil</w:t>
      </w:r>
      <w:r w:rsidR="006F74FC">
        <w:t>e v celoti poravnane v letu 2015. Te obveznosti iz leta 2014</w:t>
      </w:r>
      <w:r>
        <w:t xml:space="preserve"> so bile: </w:t>
      </w:r>
    </w:p>
    <w:p w:rsidR="00BA4F07" w:rsidRDefault="00BA4F07" w:rsidP="00BA4F07">
      <w:pPr>
        <w:jc w:val="both"/>
      </w:pPr>
    </w:p>
    <w:p w:rsidR="002E66CD" w:rsidRPr="00CA5633" w:rsidRDefault="002E66CD" w:rsidP="002E66CD">
      <w:pPr>
        <w:jc w:val="both"/>
      </w:pPr>
      <w:r w:rsidRPr="00CA5633">
        <w:rPr>
          <w:b/>
        </w:rPr>
        <w:t xml:space="preserve">Kratkoročne obveznosti do zaposlenih </w:t>
      </w:r>
      <w:r w:rsidRPr="00CA5633">
        <w:t xml:space="preserve">na dan </w:t>
      </w:r>
      <w:r>
        <w:t xml:space="preserve"> 31.12.2014 znašajo 13.881,67 EUR  in predstavljajo plače za mesec december 2014, ki so bile izplačane v januarju 2015.</w:t>
      </w:r>
    </w:p>
    <w:p w:rsidR="002E66CD" w:rsidRDefault="002E66CD" w:rsidP="002E66CD"/>
    <w:p w:rsidR="002E66CD" w:rsidRDefault="002E66CD" w:rsidP="002E66CD">
      <w:pPr>
        <w:jc w:val="both"/>
      </w:pPr>
      <w:r w:rsidRPr="000A61CB">
        <w:rPr>
          <w:b/>
        </w:rPr>
        <w:t xml:space="preserve">Obveznosti do dobaviteljev </w:t>
      </w:r>
      <w:r>
        <w:t xml:space="preserve">na dan 31.12.2014 znašajo skupaj  87.916,24  EUR, ki predstavljajo v letu 2014 opravljene storitve in dobavo trgovskega blaga, ki pa zapadejo v plačilo v letu 2015. Te neplačane obveznosti so evidentirane  na kontu 18 – neplačani odhodki. Večja odprta investicijska obveznost na dan 31.12.2014 je: </w:t>
      </w:r>
    </w:p>
    <w:p w:rsidR="002E66CD" w:rsidRDefault="002E66CD" w:rsidP="002E66CD">
      <w:pPr>
        <w:numPr>
          <w:ilvl w:val="0"/>
          <w:numId w:val="2"/>
        </w:numPr>
        <w:jc w:val="both"/>
      </w:pPr>
      <w:r>
        <w:t>obveznost do podjetja Grafit d.o.o. v višini 26.302,23 EUR za investicijo Izgradnja večnamenskega objekta Retje.</w:t>
      </w:r>
    </w:p>
    <w:p w:rsidR="002E66CD" w:rsidRDefault="002E66CD" w:rsidP="002E66CD">
      <w:pPr>
        <w:ind w:left="360"/>
        <w:jc w:val="both"/>
      </w:pPr>
    </w:p>
    <w:p w:rsidR="002E66CD" w:rsidRDefault="002E66CD" w:rsidP="002E66CD">
      <w:pPr>
        <w:jc w:val="both"/>
      </w:pPr>
      <w:r>
        <w:t xml:space="preserve">Ostale obveznosti do dobaviteljev so tekoče obveznosti in predstavljajo obveznost za prejete  račune za mesec november in december 2014, ki bodo poravnane v letu 2015 in sicer  glede na zakonski plačilni rok  30 dni od prejema računa. </w:t>
      </w:r>
    </w:p>
    <w:p w:rsidR="002E66CD" w:rsidRDefault="002E66CD" w:rsidP="002E66CD">
      <w:pPr>
        <w:jc w:val="both"/>
      </w:pPr>
    </w:p>
    <w:p w:rsidR="002E66CD" w:rsidRDefault="002E66CD" w:rsidP="002E66CD">
      <w:pPr>
        <w:jc w:val="both"/>
      </w:pPr>
      <w:r w:rsidRPr="00FA761C">
        <w:rPr>
          <w:b/>
        </w:rPr>
        <w:t>Druge kratkoročne obveznosti iz poslovanja</w:t>
      </w:r>
      <w:r>
        <w:t xml:space="preserve"> v višini 1.154,93 EUR, kar predstavlja obveznost za plačilo DDV v višini 176,45 EUR in   druge kratkoročne obveznosti iz poslovanja 978,48 EUR  (pogodba o delu, avtorsko delo in družinski pomočnik , ki so bile izplačane v mesecu januarju 2015 na podlagi obračunov za leto 2014).</w:t>
      </w:r>
    </w:p>
    <w:p w:rsidR="002E66CD" w:rsidRPr="008D52BA" w:rsidRDefault="002E66CD" w:rsidP="002E66CD">
      <w:pPr>
        <w:jc w:val="both"/>
      </w:pPr>
    </w:p>
    <w:p w:rsidR="002E66CD" w:rsidRDefault="002E66CD" w:rsidP="002E66CD">
      <w:pPr>
        <w:jc w:val="both"/>
      </w:pPr>
      <w:r w:rsidRPr="00BA31A3">
        <w:rPr>
          <w:b/>
        </w:rPr>
        <w:t>Kratkoročne obveznosti do uporabnikov enotnega kontnega načrta</w:t>
      </w:r>
      <w:r>
        <w:t xml:space="preserve"> v višini 60.833,15 EUR in sicer so to:</w:t>
      </w:r>
    </w:p>
    <w:p w:rsidR="002E66CD" w:rsidRDefault="002E66CD" w:rsidP="002E66CD">
      <w:pPr>
        <w:jc w:val="both"/>
      </w:pPr>
      <w:r w:rsidRPr="008939BB">
        <w:rPr>
          <w:b/>
          <w:i/>
        </w:rPr>
        <w:t>1. Kratkoročne obveznosti do posrednih uporabnikov proračuna občine</w:t>
      </w:r>
      <w:r>
        <w:t xml:space="preserve"> v višini 43.501,28 EUR in sicer je to:  </w:t>
      </w:r>
    </w:p>
    <w:p w:rsidR="002E66CD" w:rsidRDefault="002E66CD" w:rsidP="002E66CD">
      <w:pPr>
        <w:ind w:left="708"/>
        <w:jc w:val="both"/>
      </w:pPr>
      <w:r>
        <w:t xml:space="preserve">- obveznost do OŠ Loški Potok za VVE po obračunu za mesec  november in december 2014  in obveznost za fakultativni pouk in materialne stroške za osnovnošolsko dejavnost po obračunu za mesec  december 2014   v skupni višini 42.923,91 EUR,  </w:t>
      </w:r>
    </w:p>
    <w:p w:rsidR="002E66CD" w:rsidRDefault="002E66CD" w:rsidP="002E66CD">
      <w:pPr>
        <w:ind w:left="708"/>
        <w:jc w:val="both"/>
      </w:pPr>
      <w:r>
        <w:t>- obveznost do ZD  Ribnica v skupni višini 577,37 EUR.</w:t>
      </w:r>
    </w:p>
    <w:p w:rsidR="002E66CD" w:rsidRDefault="002E66CD" w:rsidP="002E66CD">
      <w:pPr>
        <w:ind w:left="708"/>
        <w:jc w:val="both"/>
      </w:pPr>
    </w:p>
    <w:p w:rsidR="002E66CD" w:rsidRDefault="002E66CD" w:rsidP="002E66CD">
      <w:pPr>
        <w:jc w:val="both"/>
      </w:pPr>
      <w:r w:rsidRPr="008939BB">
        <w:rPr>
          <w:b/>
          <w:i/>
        </w:rPr>
        <w:lastRenderedPageBreak/>
        <w:t>2. Kratkoročne obveznosti do drugih uporabnikov enotnega kontnega načrta</w:t>
      </w:r>
      <w:r>
        <w:t xml:space="preserve">  v višini 17.331,87 EUR. Sem spadajo obveznosti do uporabnikov državnega proračuna in posrednih uporabnikov  drugih občinskih proračunov kot so domovi za starejše občane, vrtci, osnovne šole, ministrstva).</w:t>
      </w:r>
    </w:p>
    <w:p w:rsidR="00BA4F07" w:rsidRDefault="00BA4F07" w:rsidP="00BA4F07">
      <w:pPr>
        <w:jc w:val="both"/>
      </w:pPr>
    </w:p>
    <w:p w:rsidR="00BA4F07" w:rsidRDefault="00BA4F07" w:rsidP="00BA4F07">
      <w:pPr>
        <w:jc w:val="both"/>
      </w:pPr>
      <w:r>
        <w:t xml:space="preserve">Prerazporeditve proračunskih sredstev po </w:t>
      </w:r>
      <w:r w:rsidR="002E66CD">
        <w:t>sprejetju proračuna za leto 2015</w:t>
      </w:r>
      <w:r>
        <w:t xml:space="preserve"> so bile naslednje: </w:t>
      </w:r>
    </w:p>
    <w:p w:rsidR="00BA4F07" w:rsidRDefault="00BA4F07" w:rsidP="00BA4F07">
      <w:pPr>
        <w:jc w:val="both"/>
      </w:pPr>
    </w:p>
    <w:tbl>
      <w:tblPr>
        <w:tblW w:w="9558" w:type="dxa"/>
        <w:tblInd w:w="55" w:type="dxa"/>
        <w:tblCellMar>
          <w:left w:w="70" w:type="dxa"/>
          <w:right w:w="70" w:type="dxa"/>
        </w:tblCellMar>
        <w:tblLook w:val="04A0" w:firstRow="1" w:lastRow="0" w:firstColumn="1" w:lastColumn="0" w:noHBand="0" w:noVBand="1"/>
      </w:tblPr>
      <w:tblGrid>
        <w:gridCol w:w="1378"/>
        <w:gridCol w:w="2847"/>
        <w:gridCol w:w="1187"/>
        <w:gridCol w:w="1377"/>
        <w:gridCol w:w="2808"/>
        <w:gridCol w:w="369"/>
        <w:gridCol w:w="571"/>
        <w:gridCol w:w="338"/>
      </w:tblGrid>
      <w:tr w:rsidR="00BA4F07" w:rsidTr="00AC7449">
        <w:trPr>
          <w:trHeight w:val="300"/>
        </w:trPr>
        <w:tc>
          <w:tcPr>
            <w:tcW w:w="8649" w:type="dxa"/>
            <w:gridSpan w:val="6"/>
            <w:noWrap/>
            <w:vAlign w:val="bottom"/>
          </w:tcPr>
          <w:tbl>
            <w:tblPr>
              <w:tblW w:w="8620" w:type="dxa"/>
              <w:tblCellMar>
                <w:left w:w="70" w:type="dxa"/>
                <w:right w:w="70" w:type="dxa"/>
              </w:tblCellMar>
              <w:tblLook w:val="04A0" w:firstRow="1" w:lastRow="0" w:firstColumn="1" w:lastColumn="0" w:noHBand="0" w:noVBand="1"/>
            </w:tblPr>
            <w:tblGrid>
              <w:gridCol w:w="1970"/>
              <w:gridCol w:w="1558"/>
              <w:gridCol w:w="733"/>
              <w:gridCol w:w="2019"/>
              <w:gridCol w:w="1607"/>
              <w:gridCol w:w="733"/>
            </w:tblGrid>
            <w:tr w:rsidR="002E66CD" w:rsidRPr="002E66CD" w:rsidTr="002E66CD">
              <w:trPr>
                <w:trHeight w:val="312"/>
              </w:trPr>
              <w:tc>
                <w:tcPr>
                  <w:tcW w:w="8620" w:type="dxa"/>
                  <w:gridSpan w:val="6"/>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rPr>
                  </w:pPr>
                  <w:r w:rsidRPr="002E66CD">
                    <w:rPr>
                      <w:rFonts w:ascii="Calibri" w:hAnsi="Calibri"/>
                      <w:b/>
                      <w:bCs/>
                      <w:color w:val="000000"/>
                    </w:rPr>
                    <w:t>PRERAZPOREDITVE PO  SPREJETEM PRORAČUNU  ZA LETO 2015-1.</w:t>
                  </w:r>
                  <w:r>
                    <w:rPr>
                      <w:rFonts w:ascii="Calibri" w:hAnsi="Calibri"/>
                      <w:b/>
                      <w:bCs/>
                      <w:color w:val="000000"/>
                    </w:rPr>
                    <w:t xml:space="preserve"> </w:t>
                  </w:r>
                  <w:r w:rsidRPr="002E66CD">
                    <w:rPr>
                      <w:rFonts w:ascii="Calibri" w:hAnsi="Calibri"/>
                      <w:b/>
                      <w:bCs/>
                      <w:color w:val="000000"/>
                    </w:rPr>
                    <w:t>polletje 2015</w:t>
                  </w:r>
                </w:p>
              </w:tc>
            </w:tr>
            <w:tr w:rsidR="002E66CD" w:rsidRPr="002E66CD" w:rsidTr="002E66CD">
              <w:trPr>
                <w:trHeight w:val="288"/>
              </w:trPr>
              <w:tc>
                <w:tcPr>
                  <w:tcW w:w="197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1558"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2019"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1607"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r>
            <w:tr w:rsidR="002E66CD" w:rsidRPr="002E66CD" w:rsidTr="002E66CD">
              <w:trPr>
                <w:trHeight w:val="288"/>
              </w:trPr>
              <w:tc>
                <w:tcPr>
                  <w:tcW w:w="6280" w:type="dxa"/>
                  <w:gridSpan w:val="4"/>
                  <w:tcBorders>
                    <w:top w:val="nil"/>
                    <w:left w:val="nil"/>
                    <w:bottom w:val="nil"/>
                    <w:right w:val="nil"/>
                  </w:tcBorders>
                  <w:shd w:val="clear" w:color="auto" w:fill="auto"/>
                  <w:noWrap/>
                  <w:vAlign w:val="bottom"/>
                  <w:hideMark/>
                </w:tcPr>
                <w:p w:rsidR="002E66CD" w:rsidRPr="002E66CD" w:rsidRDefault="00E56B9D" w:rsidP="002E66CD">
                  <w:pPr>
                    <w:rPr>
                      <w:rFonts w:ascii="Calibri" w:hAnsi="Calibri"/>
                      <w:b/>
                      <w:bCs/>
                      <w:color w:val="000000"/>
                      <w:sz w:val="22"/>
                      <w:szCs w:val="22"/>
                    </w:rPr>
                  </w:pPr>
                  <w:r>
                    <w:rPr>
                      <w:rFonts w:ascii="Calibri" w:hAnsi="Calibri"/>
                      <w:b/>
                      <w:bCs/>
                      <w:color w:val="000000"/>
                      <w:sz w:val="22"/>
                      <w:szCs w:val="22"/>
                    </w:rPr>
                    <w:t>I</w:t>
                  </w:r>
                  <w:r w:rsidR="002E66CD" w:rsidRPr="002E66CD">
                    <w:rPr>
                      <w:rFonts w:ascii="Calibri" w:hAnsi="Calibri"/>
                      <w:b/>
                      <w:bCs/>
                      <w:color w:val="000000"/>
                      <w:sz w:val="22"/>
                      <w:szCs w:val="22"/>
                    </w:rPr>
                    <w:t xml:space="preserve">. PRERAZPOREDITVE IZ SREDSTEV PRORAČUNSKE REZERVACIJE </w:t>
                  </w:r>
                </w:p>
              </w:tc>
              <w:tc>
                <w:tcPr>
                  <w:tcW w:w="1607"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r>
            <w:tr w:rsidR="002E66CD" w:rsidRPr="002E66CD" w:rsidTr="002E66CD">
              <w:trPr>
                <w:trHeight w:val="288"/>
              </w:trPr>
              <w:tc>
                <w:tcPr>
                  <w:tcW w:w="197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1558"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2019"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1607"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r>
            <w:tr w:rsidR="002E66CD" w:rsidRPr="002E66CD" w:rsidTr="002E66CD">
              <w:trPr>
                <w:trHeight w:val="300"/>
              </w:trPr>
              <w:tc>
                <w:tcPr>
                  <w:tcW w:w="3528" w:type="dxa"/>
                  <w:gridSpan w:val="2"/>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r w:rsidRPr="002E66CD">
                    <w:rPr>
                      <w:rFonts w:ascii="Calibri" w:hAnsi="Calibri"/>
                      <w:b/>
                      <w:bCs/>
                      <w:color w:val="000000"/>
                      <w:sz w:val="22"/>
                      <w:szCs w:val="22"/>
                    </w:rPr>
                    <w:t xml:space="preserve">PRERAZPOREDITVE IZ </w:t>
                  </w: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3626" w:type="dxa"/>
                  <w:gridSpan w:val="2"/>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r w:rsidRPr="002E66CD">
                    <w:rPr>
                      <w:rFonts w:ascii="Calibri" w:hAnsi="Calibri"/>
                      <w:b/>
                      <w:bCs/>
                      <w:color w:val="000000"/>
                      <w:sz w:val="22"/>
                      <w:szCs w:val="22"/>
                    </w:rPr>
                    <w:t xml:space="preserve">PRERAZPOREDITVE NA </w:t>
                  </w:r>
                </w:p>
              </w:tc>
              <w:tc>
                <w:tcPr>
                  <w:tcW w:w="733"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r>
            <w:tr w:rsidR="002E66CD" w:rsidRPr="002E66CD" w:rsidTr="002E66CD">
              <w:trPr>
                <w:trHeight w:val="300"/>
              </w:trPr>
              <w:tc>
                <w:tcPr>
                  <w:tcW w:w="19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Proračunska postavka </w:t>
                  </w:r>
                </w:p>
              </w:tc>
              <w:tc>
                <w:tcPr>
                  <w:tcW w:w="1558" w:type="dxa"/>
                  <w:tcBorders>
                    <w:top w:val="single" w:sz="8" w:space="0" w:color="auto"/>
                    <w:left w:val="nil"/>
                    <w:bottom w:val="single" w:sz="8" w:space="0" w:color="auto"/>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Konto </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Znesek </w:t>
                  </w:r>
                </w:p>
              </w:tc>
              <w:tc>
                <w:tcPr>
                  <w:tcW w:w="2019" w:type="dxa"/>
                  <w:tcBorders>
                    <w:top w:val="single" w:sz="8" w:space="0" w:color="auto"/>
                    <w:left w:val="nil"/>
                    <w:bottom w:val="single" w:sz="8" w:space="0" w:color="auto"/>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Proračunska postavka </w:t>
                  </w:r>
                </w:p>
              </w:tc>
              <w:tc>
                <w:tcPr>
                  <w:tcW w:w="1607" w:type="dxa"/>
                  <w:tcBorders>
                    <w:top w:val="single" w:sz="8" w:space="0" w:color="auto"/>
                    <w:left w:val="nil"/>
                    <w:bottom w:val="single" w:sz="8" w:space="0" w:color="auto"/>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Konto </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Znesek </w:t>
                  </w:r>
                </w:p>
              </w:tc>
            </w:tr>
            <w:tr w:rsidR="002E66CD" w:rsidRPr="002E66CD" w:rsidTr="002E66CD">
              <w:trPr>
                <w:trHeight w:val="648"/>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3.260,00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16014 Urejanje naselij-čiščenje centra Hriba </w:t>
                  </w:r>
                </w:p>
              </w:tc>
              <w:tc>
                <w:tcPr>
                  <w:tcW w:w="1607"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4022032 Urejanje centra Hriba</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3.260,00</w:t>
                  </w:r>
                </w:p>
              </w:tc>
            </w:tr>
            <w:tr w:rsidR="002E66CD" w:rsidRPr="002E66CD" w:rsidTr="002E66CD">
              <w:trPr>
                <w:trHeight w:val="600"/>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400,00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18005 Stroški kulturnih prireditev</w:t>
                  </w:r>
                </w:p>
              </w:tc>
              <w:tc>
                <w:tcPr>
                  <w:tcW w:w="1607"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4020991 Stroški za material in storitev-kulturne  prireditve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400,00</w:t>
                  </w:r>
                </w:p>
              </w:tc>
            </w:tr>
            <w:tr w:rsidR="002E66CD" w:rsidRPr="002E66CD" w:rsidTr="002E66CD">
              <w:trPr>
                <w:trHeight w:val="564"/>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840,00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20008 Subvencioniranje stanarin</w:t>
                  </w:r>
                </w:p>
              </w:tc>
              <w:tc>
                <w:tcPr>
                  <w:tcW w:w="1607"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411920 </w:t>
                  </w:r>
                  <w:proofErr w:type="spellStart"/>
                  <w:r w:rsidRPr="002E66CD">
                    <w:rPr>
                      <w:rFonts w:ascii="Calibri" w:hAnsi="Calibri"/>
                      <w:color w:val="000000"/>
                      <w:sz w:val="16"/>
                      <w:szCs w:val="16"/>
                    </w:rPr>
                    <w:t>Subvencionir</w:t>
                  </w:r>
                  <w:proofErr w:type="spellEnd"/>
                  <w:r w:rsidRPr="002E66CD">
                    <w:rPr>
                      <w:rFonts w:ascii="Calibri" w:hAnsi="Calibri"/>
                      <w:color w:val="000000"/>
                      <w:sz w:val="16"/>
                      <w:szCs w:val="16"/>
                    </w:rPr>
                    <w:t>. stanarin</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840,00</w:t>
                  </w:r>
                </w:p>
              </w:tc>
            </w:tr>
            <w:tr w:rsidR="002E66CD" w:rsidRPr="002E66CD" w:rsidTr="002E66CD">
              <w:trPr>
                <w:trHeight w:val="636"/>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4.000,00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15007 Vzdrževanje kanalizacijskih sistemov in čistilnih naprav</w:t>
                  </w:r>
                </w:p>
              </w:tc>
              <w:tc>
                <w:tcPr>
                  <w:tcW w:w="1607" w:type="dxa"/>
                  <w:tcBorders>
                    <w:top w:val="nil"/>
                    <w:left w:val="nil"/>
                    <w:bottom w:val="single" w:sz="4" w:space="0" w:color="auto"/>
                    <w:right w:val="single" w:sz="4" w:space="0" w:color="auto"/>
                  </w:tcBorders>
                  <w:shd w:val="clear" w:color="auto" w:fill="auto"/>
                  <w:vAlign w:val="bottom"/>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4025034 Tekoče vzdrževanje drugih objektov</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4.000,00</w:t>
                  </w:r>
                </w:p>
              </w:tc>
            </w:tr>
            <w:tr w:rsidR="002E66CD" w:rsidRPr="002E66CD" w:rsidTr="002E66CD">
              <w:trPr>
                <w:trHeight w:val="588"/>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437,00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11004  Obnova vasi</w:t>
                  </w:r>
                </w:p>
              </w:tc>
              <w:tc>
                <w:tcPr>
                  <w:tcW w:w="1607"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42040114 Večnamenski objekt v Retjah</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437,00</w:t>
                  </w:r>
                </w:p>
              </w:tc>
            </w:tr>
            <w:tr w:rsidR="002E66CD" w:rsidRPr="002E66CD" w:rsidTr="002E66CD">
              <w:trPr>
                <w:trHeight w:val="564"/>
              </w:trPr>
              <w:tc>
                <w:tcPr>
                  <w:tcW w:w="1970" w:type="dxa"/>
                  <w:tcBorders>
                    <w:top w:val="nil"/>
                    <w:left w:val="single" w:sz="8"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23002 Splošna proračunska rezervacija </w:t>
                  </w:r>
                </w:p>
              </w:tc>
              <w:tc>
                <w:tcPr>
                  <w:tcW w:w="1558"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409000 Splošna proračunska rezervacija </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617,00</w:t>
                  </w:r>
                </w:p>
              </w:tc>
              <w:tc>
                <w:tcPr>
                  <w:tcW w:w="2019"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16013 Druge komunalne storitve</w:t>
                  </w:r>
                </w:p>
              </w:tc>
              <w:tc>
                <w:tcPr>
                  <w:tcW w:w="1607"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40209992 Izdelava proj.</w:t>
                  </w:r>
                  <w:proofErr w:type="spellStart"/>
                  <w:r w:rsidRPr="002E66CD">
                    <w:rPr>
                      <w:rFonts w:ascii="Calibri" w:hAnsi="Calibri"/>
                      <w:color w:val="000000"/>
                      <w:sz w:val="16"/>
                      <w:szCs w:val="16"/>
                    </w:rPr>
                    <w:t>pog</w:t>
                  </w:r>
                  <w:proofErr w:type="spellEnd"/>
                  <w:r w:rsidRPr="002E66CD">
                    <w:rPr>
                      <w:rFonts w:ascii="Calibri" w:hAnsi="Calibri"/>
                      <w:color w:val="000000"/>
                      <w:sz w:val="16"/>
                      <w:szCs w:val="16"/>
                    </w:rPr>
                    <w:t>., smernic</w:t>
                  </w:r>
                </w:p>
              </w:tc>
              <w:tc>
                <w:tcPr>
                  <w:tcW w:w="733" w:type="dxa"/>
                  <w:tcBorders>
                    <w:top w:val="nil"/>
                    <w:left w:val="nil"/>
                    <w:bottom w:val="single" w:sz="4" w:space="0" w:color="auto"/>
                    <w:right w:val="single" w:sz="8"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617,00</w:t>
                  </w:r>
                </w:p>
              </w:tc>
            </w:tr>
            <w:tr w:rsidR="002E66CD" w:rsidRPr="002E66CD" w:rsidTr="002E66CD">
              <w:trPr>
                <w:trHeight w:val="288"/>
              </w:trPr>
              <w:tc>
                <w:tcPr>
                  <w:tcW w:w="197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16"/>
                      <w:szCs w:val="16"/>
                    </w:rPr>
                  </w:pPr>
                </w:p>
              </w:tc>
              <w:tc>
                <w:tcPr>
                  <w:tcW w:w="1558"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16"/>
                      <w:szCs w:val="16"/>
                    </w:rPr>
                  </w:pP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b/>
                      <w:bCs/>
                      <w:color w:val="000000"/>
                      <w:sz w:val="16"/>
                      <w:szCs w:val="16"/>
                    </w:rPr>
                  </w:pPr>
                  <w:r w:rsidRPr="002E66CD">
                    <w:rPr>
                      <w:rFonts w:ascii="Calibri" w:hAnsi="Calibri"/>
                      <w:b/>
                      <w:bCs/>
                      <w:color w:val="000000"/>
                      <w:sz w:val="16"/>
                      <w:szCs w:val="16"/>
                    </w:rPr>
                    <w:t>9.554,00</w:t>
                  </w:r>
                </w:p>
              </w:tc>
              <w:tc>
                <w:tcPr>
                  <w:tcW w:w="2019"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16"/>
                      <w:szCs w:val="16"/>
                    </w:rPr>
                  </w:pPr>
                </w:p>
              </w:tc>
              <w:tc>
                <w:tcPr>
                  <w:tcW w:w="1607"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16"/>
                      <w:szCs w:val="16"/>
                    </w:rPr>
                  </w:pP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b/>
                      <w:bCs/>
                      <w:color w:val="000000"/>
                      <w:sz w:val="16"/>
                      <w:szCs w:val="16"/>
                    </w:rPr>
                  </w:pPr>
                  <w:r w:rsidRPr="002E66CD">
                    <w:rPr>
                      <w:rFonts w:ascii="Calibri" w:hAnsi="Calibri"/>
                      <w:b/>
                      <w:bCs/>
                      <w:color w:val="000000"/>
                      <w:sz w:val="16"/>
                      <w:szCs w:val="16"/>
                    </w:rPr>
                    <w:t>9.554,00</w:t>
                  </w:r>
                </w:p>
              </w:tc>
            </w:tr>
          </w:tbl>
          <w:p w:rsidR="00BA4F07" w:rsidRDefault="00BA4F07">
            <w:pPr>
              <w:rPr>
                <w:rFonts w:ascii="Arial" w:hAnsi="Arial" w:cs="Arial"/>
                <w:b/>
                <w:bCs/>
                <w:sz w:val="22"/>
                <w:szCs w:val="22"/>
              </w:rPr>
            </w:pPr>
          </w:p>
          <w:tbl>
            <w:tblPr>
              <w:tblW w:w="8620" w:type="dxa"/>
              <w:tblCellMar>
                <w:left w:w="70" w:type="dxa"/>
                <w:right w:w="70" w:type="dxa"/>
              </w:tblCellMar>
              <w:tblLook w:val="04A0" w:firstRow="1" w:lastRow="0" w:firstColumn="1" w:lastColumn="0" w:noHBand="0" w:noVBand="1"/>
            </w:tblPr>
            <w:tblGrid>
              <w:gridCol w:w="1895"/>
              <w:gridCol w:w="1602"/>
              <w:gridCol w:w="707"/>
              <w:gridCol w:w="1942"/>
              <w:gridCol w:w="1720"/>
              <w:gridCol w:w="760"/>
            </w:tblGrid>
            <w:tr w:rsidR="002E66CD" w:rsidRPr="002E66CD" w:rsidTr="002E66CD">
              <w:trPr>
                <w:trHeight w:val="288"/>
              </w:trPr>
              <w:tc>
                <w:tcPr>
                  <w:tcW w:w="6140" w:type="dxa"/>
                  <w:gridSpan w:val="4"/>
                  <w:tcBorders>
                    <w:top w:val="nil"/>
                    <w:left w:val="nil"/>
                    <w:bottom w:val="nil"/>
                    <w:right w:val="nil"/>
                  </w:tcBorders>
                  <w:shd w:val="clear" w:color="auto" w:fill="auto"/>
                  <w:noWrap/>
                  <w:vAlign w:val="bottom"/>
                  <w:hideMark/>
                </w:tcPr>
                <w:p w:rsidR="002E66CD" w:rsidRPr="002E66CD" w:rsidRDefault="00E56B9D" w:rsidP="002E66CD">
                  <w:pPr>
                    <w:rPr>
                      <w:rFonts w:ascii="Calibri" w:hAnsi="Calibri"/>
                      <w:b/>
                      <w:bCs/>
                      <w:color w:val="000000"/>
                      <w:sz w:val="22"/>
                      <w:szCs w:val="22"/>
                    </w:rPr>
                  </w:pPr>
                  <w:r>
                    <w:rPr>
                      <w:rFonts w:ascii="Calibri" w:hAnsi="Calibri"/>
                      <w:b/>
                      <w:bCs/>
                      <w:color w:val="000000"/>
                      <w:sz w:val="22"/>
                      <w:szCs w:val="22"/>
                    </w:rPr>
                    <w:t>II</w:t>
                  </w:r>
                  <w:r w:rsidR="002E66CD" w:rsidRPr="002E66CD">
                    <w:rPr>
                      <w:rFonts w:ascii="Calibri" w:hAnsi="Calibri"/>
                      <w:b/>
                      <w:bCs/>
                      <w:color w:val="000000"/>
                      <w:sz w:val="22"/>
                      <w:szCs w:val="22"/>
                    </w:rPr>
                    <w:t xml:space="preserve">. PRERAZPOREDITVE V OKVIRU PRORAČUNSKE POSTAVKE </w:t>
                  </w:r>
                </w:p>
              </w:tc>
              <w:tc>
                <w:tcPr>
                  <w:tcW w:w="172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r>
            <w:tr w:rsidR="002E66CD" w:rsidRPr="002E66CD" w:rsidTr="002E66CD">
              <w:trPr>
                <w:trHeight w:val="288"/>
              </w:trPr>
              <w:tc>
                <w:tcPr>
                  <w:tcW w:w="1895"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1602"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701"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1942"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color w:val="000000"/>
                      <w:sz w:val="22"/>
                      <w:szCs w:val="22"/>
                    </w:rPr>
                  </w:pPr>
                </w:p>
              </w:tc>
            </w:tr>
            <w:tr w:rsidR="002E66CD" w:rsidRPr="002E66CD" w:rsidTr="002E66CD">
              <w:trPr>
                <w:trHeight w:val="300"/>
              </w:trPr>
              <w:tc>
                <w:tcPr>
                  <w:tcW w:w="3497" w:type="dxa"/>
                  <w:gridSpan w:val="2"/>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r w:rsidRPr="002E66CD">
                    <w:rPr>
                      <w:rFonts w:ascii="Calibri" w:hAnsi="Calibri"/>
                      <w:b/>
                      <w:bCs/>
                      <w:color w:val="000000"/>
                      <w:sz w:val="22"/>
                      <w:szCs w:val="22"/>
                    </w:rPr>
                    <w:t xml:space="preserve">PRERAZPOREDITVE IZ </w:t>
                  </w:r>
                </w:p>
              </w:tc>
              <w:tc>
                <w:tcPr>
                  <w:tcW w:w="701"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c>
                <w:tcPr>
                  <w:tcW w:w="3662" w:type="dxa"/>
                  <w:gridSpan w:val="2"/>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r w:rsidRPr="002E66CD">
                    <w:rPr>
                      <w:rFonts w:ascii="Calibri" w:hAnsi="Calibri"/>
                      <w:b/>
                      <w:bCs/>
                      <w:color w:val="000000"/>
                      <w:sz w:val="22"/>
                      <w:szCs w:val="22"/>
                    </w:rPr>
                    <w:t xml:space="preserve">PRERAZPOREDITVE NA </w:t>
                  </w:r>
                </w:p>
              </w:tc>
              <w:tc>
                <w:tcPr>
                  <w:tcW w:w="760" w:type="dxa"/>
                  <w:tcBorders>
                    <w:top w:val="nil"/>
                    <w:left w:val="nil"/>
                    <w:bottom w:val="nil"/>
                    <w:right w:val="nil"/>
                  </w:tcBorders>
                  <w:shd w:val="clear" w:color="auto" w:fill="auto"/>
                  <w:noWrap/>
                  <w:vAlign w:val="bottom"/>
                  <w:hideMark/>
                </w:tcPr>
                <w:p w:rsidR="002E66CD" w:rsidRPr="002E66CD" w:rsidRDefault="002E66CD" w:rsidP="002E66CD">
                  <w:pPr>
                    <w:rPr>
                      <w:rFonts w:ascii="Calibri" w:hAnsi="Calibri"/>
                      <w:b/>
                      <w:bCs/>
                      <w:color w:val="000000"/>
                      <w:sz w:val="22"/>
                      <w:szCs w:val="22"/>
                    </w:rPr>
                  </w:pPr>
                </w:p>
              </w:tc>
            </w:tr>
            <w:tr w:rsidR="002E66CD" w:rsidRPr="002E66CD" w:rsidTr="002E66CD">
              <w:trPr>
                <w:trHeight w:val="288"/>
              </w:trPr>
              <w:tc>
                <w:tcPr>
                  <w:tcW w:w="1895" w:type="dxa"/>
                  <w:tcBorders>
                    <w:top w:val="single" w:sz="8" w:space="0" w:color="auto"/>
                    <w:left w:val="single" w:sz="8" w:space="0" w:color="auto"/>
                    <w:bottom w:val="nil"/>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Proračunska postavka </w:t>
                  </w:r>
                </w:p>
              </w:tc>
              <w:tc>
                <w:tcPr>
                  <w:tcW w:w="1602" w:type="dxa"/>
                  <w:tcBorders>
                    <w:top w:val="single" w:sz="8" w:space="0" w:color="auto"/>
                    <w:left w:val="nil"/>
                    <w:bottom w:val="nil"/>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Konto </w:t>
                  </w:r>
                </w:p>
              </w:tc>
              <w:tc>
                <w:tcPr>
                  <w:tcW w:w="701" w:type="dxa"/>
                  <w:tcBorders>
                    <w:top w:val="single" w:sz="8" w:space="0" w:color="auto"/>
                    <w:left w:val="nil"/>
                    <w:bottom w:val="nil"/>
                    <w:right w:val="single" w:sz="8"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Znesek </w:t>
                  </w:r>
                </w:p>
              </w:tc>
              <w:tc>
                <w:tcPr>
                  <w:tcW w:w="1942" w:type="dxa"/>
                  <w:tcBorders>
                    <w:top w:val="single" w:sz="8" w:space="0" w:color="auto"/>
                    <w:left w:val="nil"/>
                    <w:bottom w:val="nil"/>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Proračunska postavka </w:t>
                  </w:r>
                </w:p>
              </w:tc>
              <w:tc>
                <w:tcPr>
                  <w:tcW w:w="1720" w:type="dxa"/>
                  <w:tcBorders>
                    <w:top w:val="single" w:sz="8" w:space="0" w:color="auto"/>
                    <w:left w:val="nil"/>
                    <w:bottom w:val="nil"/>
                    <w:right w:val="single" w:sz="4"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Konto </w:t>
                  </w:r>
                </w:p>
              </w:tc>
              <w:tc>
                <w:tcPr>
                  <w:tcW w:w="760" w:type="dxa"/>
                  <w:tcBorders>
                    <w:top w:val="single" w:sz="8" w:space="0" w:color="auto"/>
                    <w:left w:val="nil"/>
                    <w:bottom w:val="nil"/>
                    <w:right w:val="single" w:sz="8" w:space="0" w:color="auto"/>
                  </w:tcBorders>
                  <w:shd w:val="clear" w:color="auto" w:fill="auto"/>
                  <w:noWrap/>
                  <w:vAlign w:val="bottom"/>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Znesek </w:t>
                  </w:r>
                </w:p>
              </w:tc>
            </w:tr>
            <w:tr w:rsidR="002E66CD" w:rsidRPr="002E66CD" w:rsidTr="002E66CD">
              <w:trPr>
                <w:trHeight w:val="74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04012  Upravljanje in tekoče vzdrževanje poslovnih prostorov</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402500 Tekoče vzdrževanje poslovnih objektov</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220,00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04012  Upravljanje in tekoče vzdrževanje poslovnih prostorov</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4022030  Komunalne storitve v KTC Hrib 14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220,00</w:t>
                  </w:r>
                </w:p>
              </w:tc>
            </w:tr>
            <w:tr w:rsidR="002E66CD" w:rsidRPr="002E66CD" w:rsidTr="002E66CD">
              <w:trPr>
                <w:trHeight w:val="612"/>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04012  Upravljanje in tekoče vzdrževanje poslovnih prostorov</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402500 Tekoče vzdrževanje poslovnih objektov</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1.780,00</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04012  Upravljanje in tekoče vzdrževanje poslovnih prostorov</w:t>
                  </w:r>
                </w:p>
              </w:tc>
              <w:tc>
                <w:tcPr>
                  <w:tcW w:w="1720"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4025002 Tekoče vzdrževanje in upravljanje Hrib 16</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1.780,00</w:t>
                  </w:r>
                </w:p>
              </w:tc>
            </w:tr>
            <w:tr w:rsidR="002E66CD" w:rsidRPr="002E66CD" w:rsidTr="002E66CD">
              <w:trPr>
                <w:trHeight w:val="52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06003 Plače delavcev občinske uprave </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400000 Osnovne plače</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176,00</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06003 Plače delavcev občinske uprave </w:t>
                  </w:r>
                </w:p>
              </w:tc>
              <w:tc>
                <w:tcPr>
                  <w:tcW w:w="1720"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4000000 </w:t>
                  </w:r>
                  <w:proofErr w:type="spellStart"/>
                  <w:r w:rsidRPr="002E66CD">
                    <w:rPr>
                      <w:rFonts w:ascii="Calibri" w:hAnsi="Calibri"/>
                      <w:color w:val="000000"/>
                      <w:sz w:val="16"/>
                      <w:szCs w:val="16"/>
                    </w:rPr>
                    <w:t>Prost.dodatno</w:t>
                  </w:r>
                  <w:proofErr w:type="spellEnd"/>
                  <w:r w:rsidRPr="002E66CD">
                    <w:rPr>
                      <w:rFonts w:ascii="Calibri" w:hAnsi="Calibri"/>
                      <w:color w:val="000000"/>
                      <w:sz w:val="16"/>
                      <w:szCs w:val="16"/>
                    </w:rPr>
                    <w:t xml:space="preserve"> pokojninsko zavar.</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176,00</w:t>
                  </w:r>
                </w:p>
              </w:tc>
            </w:tr>
            <w:tr w:rsidR="002E66CD" w:rsidRPr="002E66CD" w:rsidTr="002E66CD">
              <w:trPr>
                <w:trHeight w:val="40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06007 Nakup opreme</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420201 Nakup pisarniške opreme </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1.458,00</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06007 Nakup opreme </w:t>
                  </w:r>
                </w:p>
              </w:tc>
              <w:tc>
                <w:tcPr>
                  <w:tcW w:w="1720" w:type="dxa"/>
                  <w:tcBorders>
                    <w:top w:val="nil"/>
                    <w:left w:val="nil"/>
                    <w:bottom w:val="single" w:sz="4" w:space="0" w:color="auto"/>
                    <w:right w:val="single" w:sz="4" w:space="0" w:color="auto"/>
                  </w:tcBorders>
                  <w:shd w:val="clear" w:color="auto" w:fill="auto"/>
                  <w:vAlign w:val="bottom"/>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420703 Nakup licenčne programske opreme </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1.458,00</w:t>
                  </w:r>
                </w:p>
              </w:tc>
            </w:tr>
            <w:tr w:rsidR="002E66CD" w:rsidRPr="002E66CD" w:rsidTr="002E66CD">
              <w:trPr>
                <w:trHeight w:val="612"/>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11004  Obnova vasi</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402099996 Drugi mat. in storitve-</w:t>
                  </w:r>
                  <w:proofErr w:type="spellStart"/>
                  <w:r w:rsidRPr="002E66CD">
                    <w:rPr>
                      <w:rFonts w:ascii="Calibri" w:hAnsi="Calibri"/>
                      <w:color w:val="000000"/>
                      <w:sz w:val="16"/>
                      <w:szCs w:val="16"/>
                    </w:rPr>
                    <w:t>Večnam.objekt</w:t>
                  </w:r>
                  <w:proofErr w:type="spellEnd"/>
                  <w:r w:rsidRPr="002E66CD">
                    <w:rPr>
                      <w:rFonts w:ascii="Calibri" w:hAnsi="Calibri"/>
                      <w:color w:val="000000"/>
                      <w:sz w:val="16"/>
                      <w:szCs w:val="16"/>
                    </w:rPr>
                    <w:t xml:space="preserve"> Retje </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234,37</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 xml:space="preserve">11004 Obnova vasi </w:t>
                  </w:r>
                </w:p>
              </w:tc>
              <w:tc>
                <w:tcPr>
                  <w:tcW w:w="1720"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4208025 </w:t>
                  </w:r>
                  <w:proofErr w:type="spellStart"/>
                  <w:r w:rsidRPr="002E66CD">
                    <w:rPr>
                      <w:rFonts w:ascii="Calibri" w:hAnsi="Calibri"/>
                      <w:color w:val="000000"/>
                      <w:sz w:val="16"/>
                      <w:szCs w:val="16"/>
                    </w:rPr>
                    <w:t>Koord.varnosti</w:t>
                  </w:r>
                  <w:proofErr w:type="spellEnd"/>
                  <w:r w:rsidRPr="002E66CD">
                    <w:rPr>
                      <w:rFonts w:ascii="Calibri" w:hAnsi="Calibri"/>
                      <w:color w:val="000000"/>
                      <w:sz w:val="16"/>
                      <w:szCs w:val="16"/>
                    </w:rPr>
                    <w:t xml:space="preserve">-Večnamenski objekt Retje </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234,37</w:t>
                  </w:r>
                </w:p>
              </w:tc>
            </w:tr>
            <w:tr w:rsidR="002E66CD" w:rsidRPr="002E66CD" w:rsidTr="002E66CD">
              <w:trPr>
                <w:trHeight w:val="40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13005 Cesta razsvetljava -JR</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42050106 Obnova JR po občini</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1.150,00</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13005 Cesta razsvetljava -JR</w:t>
                  </w:r>
                </w:p>
              </w:tc>
              <w:tc>
                <w:tcPr>
                  <w:tcW w:w="1720"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4204015 Izgradnja in </w:t>
                  </w:r>
                  <w:proofErr w:type="spellStart"/>
                  <w:r w:rsidRPr="002E66CD">
                    <w:rPr>
                      <w:rFonts w:ascii="Calibri" w:hAnsi="Calibri"/>
                      <w:color w:val="000000"/>
                      <w:sz w:val="16"/>
                      <w:szCs w:val="16"/>
                    </w:rPr>
                    <w:t>posod.JR</w:t>
                  </w:r>
                  <w:proofErr w:type="spellEnd"/>
                  <w:r w:rsidRPr="002E66CD">
                    <w:rPr>
                      <w:rFonts w:ascii="Calibri" w:hAnsi="Calibri"/>
                      <w:color w:val="000000"/>
                      <w:sz w:val="16"/>
                      <w:szCs w:val="16"/>
                    </w:rPr>
                    <w:t xml:space="preserve"> v Malem Logu</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1.150,00</w:t>
                  </w:r>
                </w:p>
              </w:tc>
            </w:tr>
            <w:tr w:rsidR="002E66CD" w:rsidRPr="002E66CD" w:rsidTr="002E66CD">
              <w:trPr>
                <w:trHeight w:val="612"/>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20015 Dom starejših občanov Loški Potok</w:t>
                  </w:r>
                </w:p>
              </w:tc>
              <w:tc>
                <w:tcPr>
                  <w:tcW w:w="160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42040201 Dozidava in rekonstrukcija DSO Loški Potok</w:t>
                  </w:r>
                </w:p>
              </w:tc>
              <w:tc>
                <w:tcPr>
                  <w:tcW w:w="701"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1.520,90</w:t>
                  </w:r>
                </w:p>
              </w:tc>
              <w:tc>
                <w:tcPr>
                  <w:tcW w:w="1942" w:type="dxa"/>
                  <w:tcBorders>
                    <w:top w:val="nil"/>
                    <w:left w:val="nil"/>
                    <w:bottom w:val="single" w:sz="4" w:space="0" w:color="auto"/>
                    <w:right w:val="single" w:sz="4" w:space="0" w:color="auto"/>
                  </w:tcBorders>
                  <w:shd w:val="clear" w:color="auto" w:fill="auto"/>
                  <w:vAlign w:val="center"/>
                  <w:hideMark/>
                </w:tcPr>
                <w:p w:rsidR="002E66CD" w:rsidRPr="002E66CD" w:rsidRDefault="002E66CD" w:rsidP="002E66CD">
                  <w:pPr>
                    <w:rPr>
                      <w:rFonts w:ascii="Calibri" w:hAnsi="Calibri"/>
                      <w:b/>
                      <w:bCs/>
                      <w:color w:val="000000"/>
                      <w:sz w:val="16"/>
                      <w:szCs w:val="16"/>
                    </w:rPr>
                  </w:pPr>
                  <w:r w:rsidRPr="002E66CD">
                    <w:rPr>
                      <w:rFonts w:ascii="Calibri" w:hAnsi="Calibri"/>
                      <w:b/>
                      <w:bCs/>
                      <w:color w:val="000000"/>
                      <w:sz w:val="16"/>
                      <w:szCs w:val="16"/>
                    </w:rPr>
                    <w:t>20015 Dom starejših občanov Loški Potok</w:t>
                  </w:r>
                </w:p>
              </w:tc>
              <w:tc>
                <w:tcPr>
                  <w:tcW w:w="1720" w:type="dxa"/>
                  <w:tcBorders>
                    <w:top w:val="nil"/>
                    <w:left w:val="nil"/>
                    <w:bottom w:val="single" w:sz="4" w:space="0" w:color="auto"/>
                    <w:right w:val="single" w:sz="4" w:space="0" w:color="auto"/>
                  </w:tcBorders>
                  <w:shd w:val="clear" w:color="auto" w:fill="auto"/>
                  <w:vAlign w:val="bottom"/>
                  <w:hideMark/>
                </w:tcPr>
                <w:p w:rsidR="002E66CD" w:rsidRPr="002E66CD" w:rsidRDefault="002E66CD" w:rsidP="002E66CD">
                  <w:pPr>
                    <w:rPr>
                      <w:rFonts w:ascii="Calibri" w:hAnsi="Calibri"/>
                      <w:color w:val="000000"/>
                      <w:sz w:val="16"/>
                      <w:szCs w:val="16"/>
                    </w:rPr>
                  </w:pPr>
                  <w:r w:rsidRPr="002E66CD">
                    <w:rPr>
                      <w:rFonts w:ascii="Calibri" w:hAnsi="Calibri"/>
                      <w:color w:val="000000"/>
                      <w:sz w:val="16"/>
                      <w:szCs w:val="16"/>
                    </w:rPr>
                    <w:t xml:space="preserve">4020082 Storitve </w:t>
                  </w:r>
                  <w:proofErr w:type="spellStart"/>
                  <w:r w:rsidRPr="002E66CD">
                    <w:rPr>
                      <w:rFonts w:ascii="Calibri" w:hAnsi="Calibri"/>
                      <w:color w:val="000000"/>
                      <w:sz w:val="16"/>
                      <w:szCs w:val="16"/>
                    </w:rPr>
                    <w:t>svet.in</w:t>
                  </w:r>
                  <w:proofErr w:type="spellEnd"/>
                  <w:r w:rsidRPr="002E66CD">
                    <w:rPr>
                      <w:rFonts w:ascii="Calibri" w:hAnsi="Calibri"/>
                      <w:color w:val="000000"/>
                      <w:sz w:val="16"/>
                      <w:szCs w:val="16"/>
                    </w:rPr>
                    <w:t xml:space="preserve"> druge </w:t>
                  </w:r>
                  <w:proofErr w:type="spellStart"/>
                  <w:r w:rsidRPr="002E66CD">
                    <w:rPr>
                      <w:rFonts w:ascii="Calibri" w:hAnsi="Calibri"/>
                      <w:color w:val="000000"/>
                      <w:sz w:val="16"/>
                      <w:szCs w:val="16"/>
                    </w:rPr>
                    <w:t>stor</w:t>
                  </w:r>
                  <w:proofErr w:type="spellEnd"/>
                  <w:r w:rsidRPr="002E66CD">
                    <w:rPr>
                      <w:rFonts w:ascii="Calibri" w:hAnsi="Calibri"/>
                      <w:color w:val="000000"/>
                      <w:sz w:val="16"/>
                      <w:szCs w:val="16"/>
                    </w:rPr>
                    <w:t>.-DSO Loški Potok</w:t>
                  </w:r>
                </w:p>
              </w:tc>
              <w:tc>
                <w:tcPr>
                  <w:tcW w:w="760" w:type="dxa"/>
                  <w:tcBorders>
                    <w:top w:val="nil"/>
                    <w:left w:val="nil"/>
                    <w:bottom w:val="single" w:sz="4" w:space="0" w:color="auto"/>
                    <w:right w:val="single" w:sz="4" w:space="0" w:color="auto"/>
                  </w:tcBorders>
                  <w:shd w:val="clear" w:color="auto" w:fill="auto"/>
                  <w:noWrap/>
                  <w:vAlign w:val="bottom"/>
                  <w:hideMark/>
                </w:tcPr>
                <w:p w:rsidR="002E66CD" w:rsidRPr="002E66CD" w:rsidRDefault="002E66CD" w:rsidP="002E66CD">
                  <w:pPr>
                    <w:jc w:val="right"/>
                    <w:rPr>
                      <w:rFonts w:ascii="Calibri" w:hAnsi="Calibri"/>
                      <w:color w:val="000000"/>
                      <w:sz w:val="16"/>
                      <w:szCs w:val="16"/>
                    </w:rPr>
                  </w:pPr>
                  <w:r w:rsidRPr="002E66CD">
                    <w:rPr>
                      <w:rFonts w:ascii="Calibri" w:hAnsi="Calibri"/>
                      <w:color w:val="000000"/>
                      <w:sz w:val="16"/>
                      <w:szCs w:val="16"/>
                    </w:rPr>
                    <w:t>1.520,90</w:t>
                  </w:r>
                </w:p>
              </w:tc>
            </w:tr>
          </w:tbl>
          <w:p w:rsidR="002E66CD" w:rsidRDefault="002E66CD">
            <w:pPr>
              <w:rPr>
                <w:rFonts w:ascii="Arial" w:hAnsi="Arial" w:cs="Arial"/>
                <w:b/>
                <w:bCs/>
                <w:sz w:val="22"/>
                <w:szCs w:val="22"/>
              </w:rPr>
            </w:pPr>
          </w:p>
        </w:tc>
        <w:tc>
          <w:tcPr>
            <w:tcW w:w="909" w:type="dxa"/>
            <w:gridSpan w:val="2"/>
            <w:noWrap/>
            <w:vAlign w:val="bottom"/>
          </w:tcPr>
          <w:p w:rsidR="00BA4F07" w:rsidRDefault="00BA4F07">
            <w:pPr>
              <w:rPr>
                <w:rFonts w:ascii="Arial" w:hAnsi="Arial" w:cs="Arial"/>
                <w:b/>
                <w:bCs/>
                <w:sz w:val="20"/>
                <w:szCs w:val="20"/>
              </w:rPr>
            </w:pPr>
          </w:p>
        </w:tc>
      </w:tr>
      <w:tr w:rsidR="00BA4F07" w:rsidTr="00BA4F07">
        <w:trPr>
          <w:trHeight w:val="270"/>
        </w:trPr>
        <w:tc>
          <w:tcPr>
            <w:tcW w:w="1110" w:type="dxa"/>
            <w:noWrap/>
            <w:vAlign w:val="bottom"/>
          </w:tcPr>
          <w:p w:rsidR="00BA4F07" w:rsidRDefault="00BA4F07">
            <w:pPr>
              <w:rPr>
                <w:rFonts w:ascii="Arial" w:hAnsi="Arial" w:cs="Arial"/>
                <w:sz w:val="20"/>
                <w:szCs w:val="20"/>
              </w:rPr>
            </w:pPr>
          </w:p>
        </w:tc>
        <w:tc>
          <w:tcPr>
            <w:tcW w:w="2295" w:type="dxa"/>
            <w:noWrap/>
            <w:vAlign w:val="bottom"/>
          </w:tcPr>
          <w:p w:rsidR="00BA4F07" w:rsidRDefault="00BA4F07">
            <w:pPr>
              <w:rPr>
                <w:rFonts w:ascii="Arial" w:hAnsi="Arial" w:cs="Arial"/>
                <w:sz w:val="20"/>
                <w:szCs w:val="20"/>
              </w:rPr>
            </w:pPr>
          </w:p>
        </w:tc>
        <w:tc>
          <w:tcPr>
            <w:tcW w:w="957" w:type="dxa"/>
            <w:noWrap/>
            <w:vAlign w:val="bottom"/>
          </w:tcPr>
          <w:p w:rsidR="00BA4F07" w:rsidRDefault="00BA4F07">
            <w:pPr>
              <w:rPr>
                <w:rFonts w:ascii="Arial" w:hAnsi="Arial" w:cs="Arial"/>
                <w:sz w:val="20"/>
                <w:szCs w:val="20"/>
              </w:rPr>
            </w:pPr>
          </w:p>
        </w:tc>
        <w:tc>
          <w:tcPr>
            <w:tcW w:w="1110" w:type="dxa"/>
            <w:noWrap/>
            <w:vAlign w:val="bottom"/>
          </w:tcPr>
          <w:p w:rsidR="00BA4F07" w:rsidRDefault="00BA4F07">
            <w:pPr>
              <w:rPr>
                <w:rFonts w:ascii="Arial" w:hAnsi="Arial" w:cs="Arial"/>
                <w:sz w:val="20"/>
                <w:szCs w:val="20"/>
              </w:rPr>
            </w:pPr>
          </w:p>
        </w:tc>
        <w:tc>
          <w:tcPr>
            <w:tcW w:w="3177" w:type="dxa"/>
            <w:gridSpan w:val="2"/>
            <w:noWrap/>
            <w:vAlign w:val="bottom"/>
          </w:tcPr>
          <w:p w:rsidR="00BA4F07" w:rsidRDefault="00BA4F07">
            <w:pPr>
              <w:rPr>
                <w:rFonts w:ascii="Arial" w:hAnsi="Arial" w:cs="Arial"/>
                <w:sz w:val="20"/>
                <w:szCs w:val="20"/>
              </w:rPr>
            </w:pPr>
          </w:p>
        </w:tc>
        <w:tc>
          <w:tcPr>
            <w:tcW w:w="909" w:type="dxa"/>
            <w:gridSpan w:val="2"/>
            <w:noWrap/>
            <w:vAlign w:val="bottom"/>
          </w:tcPr>
          <w:p w:rsidR="00BA4F07" w:rsidRDefault="00BA4F07">
            <w:pPr>
              <w:rPr>
                <w:rFonts w:ascii="Arial" w:hAnsi="Arial" w:cs="Arial"/>
                <w:sz w:val="20"/>
                <w:szCs w:val="20"/>
              </w:rPr>
            </w:pPr>
          </w:p>
        </w:tc>
      </w:tr>
      <w:tr w:rsidR="00BA4F07" w:rsidTr="00BA4F07">
        <w:trPr>
          <w:gridAfter w:val="1"/>
          <w:wAfter w:w="338" w:type="dxa"/>
          <w:trHeight w:val="300"/>
        </w:trPr>
        <w:tc>
          <w:tcPr>
            <w:tcW w:w="8280" w:type="dxa"/>
            <w:gridSpan w:val="5"/>
            <w:noWrap/>
            <w:vAlign w:val="bottom"/>
          </w:tcPr>
          <w:p w:rsidR="00BA4F07" w:rsidRDefault="00BA4F07">
            <w:pPr>
              <w:rPr>
                <w:rFonts w:ascii="Arial" w:hAnsi="Arial" w:cs="Arial"/>
                <w:b/>
                <w:bCs/>
                <w:sz w:val="22"/>
                <w:szCs w:val="22"/>
              </w:rPr>
            </w:pPr>
          </w:p>
        </w:tc>
        <w:tc>
          <w:tcPr>
            <w:tcW w:w="940" w:type="dxa"/>
            <w:gridSpan w:val="2"/>
            <w:noWrap/>
            <w:vAlign w:val="bottom"/>
          </w:tcPr>
          <w:p w:rsidR="00BA4F07" w:rsidRDefault="00BA4F07">
            <w:pPr>
              <w:rPr>
                <w:rFonts w:ascii="Arial" w:hAnsi="Arial" w:cs="Arial"/>
                <w:b/>
                <w:bCs/>
                <w:sz w:val="20"/>
                <w:szCs w:val="20"/>
              </w:rPr>
            </w:pPr>
          </w:p>
        </w:tc>
      </w:tr>
    </w:tbl>
    <w:p w:rsidR="00E56B9D" w:rsidRDefault="00E56B9D" w:rsidP="00BA4F07">
      <w:pPr>
        <w:jc w:val="both"/>
        <w:rPr>
          <w:b/>
        </w:rPr>
      </w:pPr>
    </w:p>
    <w:p w:rsidR="00E56B9D" w:rsidRDefault="00E56B9D" w:rsidP="00BA4F07">
      <w:pPr>
        <w:jc w:val="both"/>
        <w:rPr>
          <w:b/>
        </w:rPr>
      </w:pPr>
    </w:p>
    <w:p w:rsidR="00E56B9D" w:rsidRDefault="00E56B9D" w:rsidP="00BA4F07">
      <w:pPr>
        <w:jc w:val="both"/>
        <w:rPr>
          <w:b/>
        </w:rPr>
      </w:pPr>
    </w:p>
    <w:p w:rsidR="00E56B9D" w:rsidRDefault="00E56B9D" w:rsidP="00BA4F07">
      <w:pPr>
        <w:jc w:val="both"/>
        <w:rPr>
          <w:b/>
        </w:rPr>
      </w:pPr>
    </w:p>
    <w:p w:rsidR="00E56B9D" w:rsidRDefault="00E56B9D" w:rsidP="00BA4F07">
      <w:pPr>
        <w:jc w:val="both"/>
        <w:rPr>
          <w:b/>
        </w:rPr>
      </w:pPr>
    </w:p>
    <w:p w:rsidR="00E56B9D" w:rsidRDefault="00E56B9D" w:rsidP="00BA4F07">
      <w:pPr>
        <w:jc w:val="both"/>
        <w:rPr>
          <w:b/>
        </w:rPr>
      </w:pPr>
    </w:p>
    <w:p w:rsidR="00BA4F07" w:rsidRDefault="00BA4F07" w:rsidP="00BA4F07">
      <w:pPr>
        <w:jc w:val="both"/>
        <w:rPr>
          <w:b/>
        </w:rPr>
      </w:pPr>
      <w:r>
        <w:rPr>
          <w:b/>
        </w:rPr>
        <w:t xml:space="preserve">3. Razlaga glavnih odstopanj v primerjavi s sprejetim proračunom </w:t>
      </w:r>
    </w:p>
    <w:p w:rsidR="00BA4F07" w:rsidRDefault="00BA4F07" w:rsidP="00BA4F07">
      <w:pPr>
        <w:jc w:val="both"/>
      </w:pPr>
    </w:p>
    <w:p w:rsidR="00BA4F07" w:rsidRDefault="00BA4F07" w:rsidP="00BA4F07">
      <w:pPr>
        <w:jc w:val="both"/>
      </w:pPr>
      <w:r>
        <w:t>Glavna odstopanja so razvidna iz prerazporeditev, ki so bile izv</w:t>
      </w:r>
      <w:r w:rsidR="002E66CD">
        <w:t xml:space="preserve">edene po sprejetem proračunu. </w:t>
      </w:r>
    </w:p>
    <w:p w:rsidR="002E66CD" w:rsidRDefault="002E66CD" w:rsidP="00BA4F07">
      <w:pPr>
        <w:jc w:val="both"/>
      </w:pPr>
    </w:p>
    <w:p w:rsidR="002E66CD" w:rsidRDefault="002E66CD" w:rsidP="00BA4F07">
      <w:pPr>
        <w:jc w:val="both"/>
      </w:pPr>
      <w:r>
        <w:t xml:space="preserve">Prerazporeditve za nove proračunske postavke, oziroma postavke, na katerih ni bilo predvidenih dovolj sredstev, smo sredstva prenesli iz tekoče proračunske rezervacije, ki je bila po sprejetem proračunu predvidena v višini 10.000 EUR, porabljena pa je v višini 9.554,00 EUR. </w:t>
      </w:r>
    </w:p>
    <w:p w:rsidR="00E56B9D" w:rsidRDefault="00E56B9D" w:rsidP="00BA4F07">
      <w:pPr>
        <w:jc w:val="both"/>
      </w:pPr>
    </w:p>
    <w:p w:rsidR="00E56B9D" w:rsidRDefault="00E56B9D" w:rsidP="00BA4F07">
      <w:pPr>
        <w:jc w:val="both"/>
      </w:pPr>
      <w:r>
        <w:t xml:space="preserve">Tudi druge prerazporeditve so bile v glavnem v okviru podprogramov, oziroma med samimi proračunskimi postavkami z prenosom na druge in nove konte. </w:t>
      </w:r>
    </w:p>
    <w:p w:rsidR="00BA4F07" w:rsidRDefault="00BA4F07" w:rsidP="00BA4F07">
      <w:pPr>
        <w:jc w:val="both"/>
      </w:pPr>
    </w:p>
    <w:p w:rsidR="00BA4F07" w:rsidRDefault="00BA4F07" w:rsidP="00BA4F07">
      <w:pPr>
        <w:jc w:val="both"/>
      </w:pPr>
    </w:p>
    <w:p w:rsidR="00E56B9D" w:rsidRDefault="00E56B9D" w:rsidP="00BA4F07">
      <w:pPr>
        <w:jc w:val="both"/>
      </w:pPr>
    </w:p>
    <w:p w:rsidR="00E56B9D" w:rsidRDefault="00E56B9D" w:rsidP="00BA4F07">
      <w:pPr>
        <w:jc w:val="both"/>
      </w:pPr>
    </w:p>
    <w:p w:rsidR="00E56B9D" w:rsidRDefault="00E56B9D" w:rsidP="00BA4F07">
      <w:pPr>
        <w:jc w:val="both"/>
      </w:pPr>
    </w:p>
    <w:p w:rsidR="00E56B9D" w:rsidRDefault="00E56B9D" w:rsidP="00BA4F07">
      <w:pPr>
        <w:jc w:val="both"/>
      </w:pPr>
    </w:p>
    <w:p w:rsidR="00E56B9D" w:rsidRDefault="00E56B9D" w:rsidP="00BA4F07">
      <w:pPr>
        <w:jc w:val="both"/>
      </w:pPr>
    </w:p>
    <w:p w:rsidR="00E56B9D" w:rsidRDefault="00E56B9D" w:rsidP="00BA4F07">
      <w:pPr>
        <w:jc w:val="both"/>
      </w:pPr>
    </w:p>
    <w:p w:rsidR="00E56B9D" w:rsidRDefault="00E56B9D" w:rsidP="00BA4F07">
      <w:pPr>
        <w:jc w:val="both"/>
      </w:pPr>
    </w:p>
    <w:p w:rsidR="00BA4F07" w:rsidRDefault="00BA4F07" w:rsidP="00BA4F07">
      <w:pPr>
        <w:jc w:val="both"/>
      </w:pPr>
      <w:r>
        <w:t xml:space="preserve"> </w:t>
      </w:r>
    </w:p>
    <w:p w:rsidR="00BA4F07" w:rsidRDefault="001E1F51" w:rsidP="001E1F51">
      <w:pPr>
        <w:jc w:val="both"/>
      </w:pPr>
      <w:r>
        <w:t>Pripravila:</w:t>
      </w:r>
      <w:r>
        <w:tab/>
      </w:r>
      <w:r>
        <w:tab/>
      </w:r>
      <w:r>
        <w:tab/>
      </w:r>
      <w:r>
        <w:tab/>
      </w:r>
      <w:r>
        <w:tab/>
      </w:r>
      <w:r>
        <w:tab/>
      </w:r>
      <w:r>
        <w:tab/>
      </w:r>
      <w:r>
        <w:tab/>
        <w:t>Predlagatelj:</w:t>
      </w:r>
    </w:p>
    <w:p w:rsidR="001E1F51" w:rsidRDefault="001E1F51" w:rsidP="001E1F51">
      <w:pPr>
        <w:jc w:val="both"/>
      </w:pPr>
      <w:r>
        <w:t xml:space="preserve">Ivanka Novak                                                                                   Ivan Benčina </w:t>
      </w:r>
    </w:p>
    <w:p w:rsidR="001E1F51" w:rsidRDefault="001E1F51" w:rsidP="001E1F51">
      <w:pPr>
        <w:jc w:val="both"/>
      </w:pPr>
      <w:r>
        <w:t xml:space="preserve">                                                                                                              ŽUPAN</w:t>
      </w:r>
    </w:p>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BA4F07" w:rsidRDefault="00BA4F07" w:rsidP="00BA4F07"/>
    <w:p w:rsidR="0017494A" w:rsidRDefault="0017494A"/>
    <w:sectPr w:rsidR="00174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60C2"/>
    <w:multiLevelType w:val="hybridMultilevel"/>
    <w:tmpl w:val="7B341FA4"/>
    <w:lvl w:ilvl="0" w:tplc="0424000F">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cs="Times New Roman"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1">
    <w:nsid w:val="58C135C0"/>
    <w:multiLevelType w:val="hybridMultilevel"/>
    <w:tmpl w:val="317CD97E"/>
    <w:lvl w:ilvl="0" w:tplc="62B05026">
      <w:numFmt w:val="bullet"/>
      <w:lvlText w:val="-"/>
      <w:lvlJc w:val="left"/>
      <w:pPr>
        <w:tabs>
          <w:tab w:val="num" w:pos="900"/>
        </w:tabs>
        <w:ind w:left="90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07"/>
    <w:rsid w:val="00084547"/>
    <w:rsid w:val="001515FB"/>
    <w:rsid w:val="0017494A"/>
    <w:rsid w:val="001C03DD"/>
    <w:rsid w:val="001C1B46"/>
    <w:rsid w:val="001E1F51"/>
    <w:rsid w:val="00263FB6"/>
    <w:rsid w:val="002E66CD"/>
    <w:rsid w:val="00353C0E"/>
    <w:rsid w:val="00361A06"/>
    <w:rsid w:val="003D60B3"/>
    <w:rsid w:val="003F147F"/>
    <w:rsid w:val="00401C07"/>
    <w:rsid w:val="004372EB"/>
    <w:rsid w:val="00472629"/>
    <w:rsid w:val="004E7239"/>
    <w:rsid w:val="00502A5E"/>
    <w:rsid w:val="0065449B"/>
    <w:rsid w:val="00691D54"/>
    <w:rsid w:val="006C6CC9"/>
    <w:rsid w:val="006F74FC"/>
    <w:rsid w:val="00726BA5"/>
    <w:rsid w:val="00792237"/>
    <w:rsid w:val="007B17CA"/>
    <w:rsid w:val="007D0BAE"/>
    <w:rsid w:val="0082711D"/>
    <w:rsid w:val="00831BE7"/>
    <w:rsid w:val="009D15A1"/>
    <w:rsid w:val="00A30504"/>
    <w:rsid w:val="00A93194"/>
    <w:rsid w:val="00AA0FDB"/>
    <w:rsid w:val="00AB0FF5"/>
    <w:rsid w:val="00AC7449"/>
    <w:rsid w:val="00B931C8"/>
    <w:rsid w:val="00BA4F07"/>
    <w:rsid w:val="00BB5412"/>
    <w:rsid w:val="00C45E7B"/>
    <w:rsid w:val="00C54A07"/>
    <w:rsid w:val="00D1719A"/>
    <w:rsid w:val="00D275A4"/>
    <w:rsid w:val="00D71854"/>
    <w:rsid w:val="00E56B9D"/>
    <w:rsid w:val="00F746B8"/>
    <w:rsid w:val="00FB4BA7"/>
    <w:rsid w:val="00FB7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4F07"/>
    <w:pPr>
      <w:spacing w:after="0" w:line="240" w:lineRule="auto"/>
    </w:pPr>
    <w:rPr>
      <w:rFonts w:ascii="Times New Roman" w:eastAsia="Times New Roman" w:hAnsi="Times New Roman" w:cs="Times New Roman"/>
      <w:sz w:val="24"/>
      <w:szCs w:val="24"/>
      <w:lang w:eastAsia="sl-SI"/>
    </w:rPr>
  </w:style>
  <w:style w:type="paragraph" w:styleId="Naslov5">
    <w:name w:val="heading 5"/>
    <w:basedOn w:val="Navaden"/>
    <w:next w:val="Navaden"/>
    <w:link w:val="Naslov5Znak"/>
    <w:semiHidden/>
    <w:unhideWhenUsed/>
    <w:qFormat/>
    <w:rsid w:val="00BA4F07"/>
    <w:pPr>
      <w:keepNext/>
      <w:jc w:val="cente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semiHidden/>
    <w:rsid w:val="00BA4F07"/>
    <w:rPr>
      <w:rFonts w:ascii="Times New Roman" w:eastAsia="Times New Roman" w:hAnsi="Times New Roman" w:cs="Times New Roman"/>
      <w:b/>
      <w:sz w:val="24"/>
      <w:szCs w:val="24"/>
      <w:lang w:eastAsia="sl-SI"/>
    </w:rPr>
  </w:style>
  <w:style w:type="paragraph" w:styleId="Odstavekseznama">
    <w:name w:val="List Paragraph"/>
    <w:basedOn w:val="Navaden"/>
    <w:uiPriority w:val="34"/>
    <w:qFormat/>
    <w:rsid w:val="001C1B46"/>
    <w:pPr>
      <w:ind w:left="720"/>
      <w:contextualSpacing/>
    </w:pPr>
  </w:style>
  <w:style w:type="paragraph" w:styleId="Besedilooblaka">
    <w:name w:val="Balloon Text"/>
    <w:basedOn w:val="Navaden"/>
    <w:link w:val="BesedilooblakaZnak"/>
    <w:uiPriority w:val="99"/>
    <w:semiHidden/>
    <w:unhideWhenUsed/>
    <w:rsid w:val="003D60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0B3"/>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4F07"/>
    <w:pPr>
      <w:spacing w:after="0" w:line="240" w:lineRule="auto"/>
    </w:pPr>
    <w:rPr>
      <w:rFonts w:ascii="Times New Roman" w:eastAsia="Times New Roman" w:hAnsi="Times New Roman" w:cs="Times New Roman"/>
      <w:sz w:val="24"/>
      <w:szCs w:val="24"/>
      <w:lang w:eastAsia="sl-SI"/>
    </w:rPr>
  </w:style>
  <w:style w:type="paragraph" w:styleId="Naslov5">
    <w:name w:val="heading 5"/>
    <w:basedOn w:val="Navaden"/>
    <w:next w:val="Navaden"/>
    <w:link w:val="Naslov5Znak"/>
    <w:semiHidden/>
    <w:unhideWhenUsed/>
    <w:qFormat/>
    <w:rsid w:val="00BA4F07"/>
    <w:pPr>
      <w:keepNext/>
      <w:jc w:val="cente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semiHidden/>
    <w:rsid w:val="00BA4F07"/>
    <w:rPr>
      <w:rFonts w:ascii="Times New Roman" w:eastAsia="Times New Roman" w:hAnsi="Times New Roman" w:cs="Times New Roman"/>
      <w:b/>
      <w:sz w:val="24"/>
      <w:szCs w:val="24"/>
      <w:lang w:eastAsia="sl-SI"/>
    </w:rPr>
  </w:style>
  <w:style w:type="paragraph" w:styleId="Odstavekseznama">
    <w:name w:val="List Paragraph"/>
    <w:basedOn w:val="Navaden"/>
    <w:uiPriority w:val="34"/>
    <w:qFormat/>
    <w:rsid w:val="001C1B46"/>
    <w:pPr>
      <w:ind w:left="720"/>
      <w:contextualSpacing/>
    </w:pPr>
  </w:style>
  <w:style w:type="paragraph" w:styleId="Besedilooblaka">
    <w:name w:val="Balloon Text"/>
    <w:basedOn w:val="Navaden"/>
    <w:link w:val="BesedilooblakaZnak"/>
    <w:uiPriority w:val="99"/>
    <w:semiHidden/>
    <w:unhideWhenUsed/>
    <w:rsid w:val="003D60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0B3"/>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338">
      <w:bodyDiv w:val="1"/>
      <w:marLeft w:val="0"/>
      <w:marRight w:val="0"/>
      <w:marTop w:val="0"/>
      <w:marBottom w:val="0"/>
      <w:divBdr>
        <w:top w:val="none" w:sz="0" w:space="0" w:color="auto"/>
        <w:left w:val="none" w:sz="0" w:space="0" w:color="auto"/>
        <w:bottom w:val="none" w:sz="0" w:space="0" w:color="auto"/>
        <w:right w:val="none" w:sz="0" w:space="0" w:color="auto"/>
      </w:divBdr>
    </w:div>
    <w:div w:id="364523888">
      <w:bodyDiv w:val="1"/>
      <w:marLeft w:val="0"/>
      <w:marRight w:val="0"/>
      <w:marTop w:val="0"/>
      <w:marBottom w:val="0"/>
      <w:divBdr>
        <w:top w:val="none" w:sz="0" w:space="0" w:color="auto"/>
        <w:left w:val="none" w:sz="0" w:space="0" w:color="auto"/>
        <w:bottom w:val="none" w:sz="0" w:space="0" w:color="auto"/>
        <w:right w:val="none" w:sz="0" w:space="0" w:color="auto"/>
      </w:divBdr>
    </w:div>
    <w:div w:id="456876871">
      <w:bodyDiv w:val="1"/>
      <w:marLeft w:val="0"/>
      <w:marRight w:val="0"/>
      <w:marTop w:val="0"/>
      <w:marBottom w:val="0"/>
      <w:divBdr>
        <w:top w:val="none" w:sz="0" w:space="0" w:color="auto"/>
        <w:left w:val="none" w:sz="0" w:space="0" w:color="auto"/>
        <w:bottom w:val="none" w:sz="0" w:space="0" w:color="auto"/>
        <w:right w:val="none" w:sz="0" w:space="0" w:color="auto"/>
      </w:divBdr>
    </w:div>
    <w:div w:id="883758892">
      <w:bodyDiv w:val="1"/>
      <w:marLeft w:val="0"/>
      <w:marRight w:val="0"/>
      <w:marTop w:val="0"/>
      <w:marBottom w:val="0"/>
      <w:divBdr>
        <w:top w:val="none" w:sz="0" w:space="0" w:color="auto"/>
        <w:left w:val="none" w:sz="0" w:space="0" w:color="auto"/>
        <w:bottom w:val="none" w:sz="0" w:space="0" w:color="auto"/>
        <w:right w:val="none" w:sz="0" w:space="0" w:color="auto"/>
      </w:divBdr>
    </w:div>
    <w:div w:id="9932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2135</Words>
  <Characters>12174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Mojca</cp:lastModifiedBy>
  <cp:revision>17</cp:revision>
  <cp:lastPrinted>2015-09-09T12:43:00Z</cp:lastPrinted>
  <dcterms:created xsi:type="dcterms:W3CDTF">2015-07-28T06:41:00Z</dcterms:created>
  <dcterms:modified xsi:type="dcterms:W3CDTF">2015-09-10T06:04:00Z</dcterms:modified>
</cp:coreProperties>
</file>